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rsidTr="006A61DF">
        <w:trPr>
          <w:trHeight w:val="1049"/>
        </w:trPr>
        <w:tc>
          <w:tcPr>
            <w:tcW w:w="8099" w:type="dxa"/>
            <w:tcMar>
              <w:top w:w="0" w:type="dxa"/>
              <w:left w:w="0" w:type="dxa"/>
              <w:bottom w:w="0" w:type="dxa"/>
              <w:right w:w="0" w:type="dxa"/>
            </w:tcMar>
          </w:tcPr>
          <w:p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bidi="de-DE"/>
              </w:rPr>
            </w:pPr>
          </w:p>
        </w:tc>
        <w:tc>
          <w:tcPr>
            <w:tcW w:w="2126" w:type="dxa"/>
            <w:tcMar>
              <w:top w:w="0" w:type="dxa"/>
              <w:left w:w="0" w:type="dxa"/>
              <w:bottom w:w="0" w:type="dxa"/>
              <w:right w:w="0" w:type="dxa"/>
            </w:tcMar>
          </w:tcPr>
          <w:p w:rsidR="00E950B0" w:rsidRPr="004B239B" w:rsidRDefault="00E950B0" w:rsidP="004B239B">
            <w:pPr>
              <w:tabs>
                <w:tab w:val="center" w:pos="4513"/>
                <w:tab w:val="right" w:pos="9026"/>
              </w:tabs>
              <w:jc w:val="left"/>
            </w:pPr>
          </w:p>
        </w:tc>
      </w:tr>
      <w:tr w:rsidR="004B239B" w:rsidRPr="004B239B" w:rsidTr="001E2E86">
        <w:trPr>
          <w:trHeight w:val="2075"/>
        </w:trPr>
        <w:tc>
          <w:tcPr>
            <w:tcW w:w="8099" w:type="dxa"/>
            <w:tcMar>
              <w:top w:w="0" w:type="dxa"/>
              <w:left w:w="0" w:type="dxa"/>
              <w:bottom w:w="0" w:type="dxa"/>
              <w:right w:w="0" w:type="dxa"/>
            </w:tcMar>
          </w:tcPr>
          <w:p w:rsidR="00DB6801" w:rsidRDefault="00DB6801" w:rsidP="00DB6801">
            <w:pPr>
              <w:jc w:val="left"/>
              <w:rPr>
                <w:b/>
                <w:bCs/>
                <w:sz w:val="40"/>
                <w:szCs w:val="40"/>
              </w:rPr>
            </w:pPr>
            <w:r w:rsidRPr="00F04782">
              <w:rPr>
                <w:b/>
                <w:bCs/>
                <w:sz w:val="40"/>
                <w:szCs w:val="40"/>
              </w:rPr>
              <w:t>CHG-MERIDIAN AG erhöht Wachstumstempo im dritten Quartal 2016</w:t>
            </w:r>
          </w:p>
          <w:p w:rsidR="004B239B" w:rsidRPr="004B239B" w:rsidRDefault="004B239B" w:rsidP="0022572B">
            <w:pPr>
              <w:tabs>
                <w:tab w:val="left" w:pos="3270"/>
              </w:tabs>
              <w:jc w:val="left"/>
            </w:pPr>
          </w:p>
        </w:tc>
        <w:tc>
          <w:tcPr>
            <w:tcW w:w="2126" w:type="dxa"/>
            <w:tcMar>
              <w:top w:w="0" w:type="dxa"/>
              <w:left w:w="0" w:type="dxa"/>
              <w:bottom w:w="0" w:type="dxa"/>
              <w:right w:w="0" w:type="dxa"/>
            </w:tcMar>
          </w:tcPr>
          <w:p w:rsidR="004B239B" w:rsidRPr="004B239B" w:rsidRDefault="004B239B" w:rsidP="004B239B">
            <w:pPr>
              <w:tabs>
                <w:tab w:val="center" w:pos="4513"/>
                <w:tab w:val="right" w:pos="9026"/>
              </w:tabs>
              <w:jc w:val="left"/>
            </w:pPr>
          </w:p>
        </w:tc>
      </w:tr>
      <w:tr w:rsidR="004B239B" w:rsidRPr="00D91F94" w:rsidTr="00E950B0">
        <w:trPr>
          <w:trHeight w:val="2398"/>
        </w:trPr>
        <w:tc>
          <w:tcPr>
            <w:tcW w:w="8099" w:type="dxa"/>
            <w:tcMar>
              <w:top w:w="0" w:type="dxa"/>
              <w:left w:w="0" w:type="dxa"/>
              <w:bottom w:w="0" w:type="dxa"/>
              <w:right w:w="0" w:type="dxa"/>
            </w:tcMar>
          </w:tcPr>
          <w:p w:rsidR="00DB6801" w:rsidRPr="00DB6801" w:rsidRDefault="00DB6801" w:rsidP="00DB6801">
            <w:pPr>
              <w:pStyle w:val="AufzhlungspunkteCHG-MERIDIAN"/>
              <w:rPr>
                <w:sz w:val="24"/>
                <w:lang w:bidi="de-DE"/>
              </w:rPr>
            </w:pPr>
            <w:r w:rsidRPr="00DB6801">
              <w:rPr>
                <w:sz w:val="24"/>
                <w:lang w:bidi="de-DE"/>
              </w:rPr>
              <w:t>Beschleunigt: Wachstum bei Ne</w:t>
            </w:r>
            <w:r w:rsidR="00EB51FA">
              <w:rPr>
                <w:sz w:val="24"/>
                <w:lang w:bidi="de-DE"/>
              </w:rPr>
              <w:t>uinvestitionen zieht spürbar an</w:t>
            </w:r>
          </w:p>
          <w:p w:rsidR="00DB6801" w:rsidRPr="00DB6801" w:rsidRDefault="00DB6801" w:rsidP="00DB6801">
            <w:pPr>
              <w:pStyle w:val="AufzhlungspunkteCHG-MERIDIAN"/>
              <w:rPr>
                <w:sz w:val="24"/>
                <w:lang w:bidi="de-DE"/>
              </w:rPr>
            </w:pPr>
            <w:r w:rsidRPr="00DB6801">
              <w:rPr>
                <w:sz w:val="24"/>
                <w:lang w:bidi="de-DE"/>
              </w:rPr>
              <w:t>Sicherheitsbewusst: Große Nachfrage nach Datenlöschung</w:t>
            </w:r>
          </w:p>
          <w:p w:rsidR="00DB6801" w:rsidRPr="00DB6801" w:rsidRDefault="00DB6801" w:rsidP="00DB6801">
            <w:pPr>
              <w:pStyle w:val="AufzhlungspunkteCHG-MERIDIAN"/>
              <w:rPr>
                <w:sz w:val="24"/>
                <w:lang w:bidi="de-DE"/>
              </w:rPr>
            </w:pPr>
            <w:r w:rsidRPr="00DB6801">
              <w:rPr>
                <w:sz w:val="24"/>
                <w:lang w:bidi="de-DE"/>
              </w:rPr>
              <w:t>Innovativ: Enterprise Mobility Solutions stellt Potenzial unter Beweis</w:t>
            </w:r>
          </w:p>
          <w:p w:rsidR="004B239B" w:rsidRPr="004B239B" w:rsidRDefault="004B239B" w:rsidP="006A61DF">
            <w:pPr>
              <w:spacing w:line="200" w:lineRule="exact"/>
            </w:pPr>
          </w:p>
        </w:tc>
        <w:tc>
          <w:tcPr>
            <w:tcW w:w="2126" w:type="dxa"/>
            <w:tcMar>
              <w:top w:w="0" w:type="dxa"/>
              <w:left w:w="0" w:type="dxa"/>
              <w:bottom w:w="0" w:type="dxa"/>
              <w:right w:w="0" w:type="dxa"/>
            </w:tcMar>
          </w:tcPr>
          <w:p w:rsidR="00AA3DD5" w:rsidRPr="00B3580B" w:rsidRDefault="00C34BA7" w:rsidP="00AA3DD5">
            <w:pPr>
              <w:tabs>
                <w:tab w:val="left" w:pos="709"/>
                <w:tab w:val="right" w:pos="2835"/>
              </w:tabs>
              <w:spacing w:line="200" w:lineRule="atLeast"/>
              <w:jc w:val="left"/>
              <w:rPr>
                <w:color w:val="auto"/>
                <w:sz w:val="14"/>
                <w:szCs w:val="14"/>
                <w:lang w:val="en-US"/>
              </w:rPr>
            </w:pPr>
            <w:r>
              <w:rPr>
                <w:color w:val="auto"/>
                <w:sz w:val="14"/>
                <w:szCs w:val="14"/>
                <w:lang w:val="en-US"/>
              </w:rPr>
              <w:t>Ihr Ansprechpartner:</w:t>
            </w:r>
          </w:p>
          <w:p w:rsidR="004C79EB" w:rsidRPr="004C79EB" w:rsidRDefault="004C79EB" w:rsidP="00AA3DD5">
            <w:pPr>
              <w:tabs>
                <w:tab w:val="left" w:pos="709"/>
                <w:tab w:val="right" w:pos="2835"/>
              </w:tabs>
              <w:spacing w:line="200" w:lineRule="atLeast"/>
              <w:jc w:val="left"/>
              <w:rPr>
                <w:color w:val="auto"/>
                <w:sz w:val="14"/>
                <w:szCs w:val="14"/>
                <w:lang w:val="en-US"/>
              </w:rPr>
            </w:pPr>
          </w:p>
          <w:p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Matthias Steybe </w:t>
            </w:r>
          </w:p>
          <w:p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Head of Communications </w:t>
            </w:r>
          </w:p>
          <w:p w:rsidR="00AA3DD5" w:rsidRPr="00D91F94" w:rsidRDefault="00AA3DD5" w:rsidP="00AA3DD5">
            <w:pPr>
              <w:tabs>
                <w:tab w:val="left" w:pos="709"/>
                <w:tab w:val="right" w:pos="2835"/>
              </w:tabs>
              <w:spacing w:line="200" w:lineRule="atLeast"/>
              <w:jc w:val="left"/>
              <w:rPr>
                <w:color w:val="auto"/>
                <w:sz w:val="14"/>
                <w:szCs w:val="14"/>
                <w:lang w:val="en-US"/>
              </w:rPr>
            </w:pPr>
            <w:r w:rsidRPr="00D91F94">
              <w:rPr>
                <w:color w:val="auto"/>
                <w:sz w:val="14"/>
                <w:szCs w:val="14"/>
                <w:lang w:val="en-US"/>
              </w:rPr>
              <w:t>und Marketing</w:t>
            </w:r>
          </w:p>
          <w:p w:rsidR="004B239B" w:rsidRPr="00D91F94" w:rsidRDefault="004B239B" w:rsidP="004B239B">
            <w:pPr>
              <w:tabs>
                <w:tab w:val="center" w:pos="4513"/>
                <w:tab w:val="right" w:pos="9026"/>
              </w:tabs>
              <w:jc w:val="left"/>
              <w:rPr>
                <w:b/>
                <w:sz w:val="14"/>
                <w:szCs w:val="14"/>
                <w:lang w:val="en-US"/>
              </w:rPr>
            </w:pPr>
          </w:p>
          <w:p w:rsidR="004B239B" w:rsidRPr="00D91F94" w:rsidRDefault="004B239B" w:rsidP="004B239B">
            <w:pPr>
              <w:tabs>
                <w:tab w:val="center" w:pos="4513"/>
                <w:tab w:val="right" w:pos="9026"/>
              </w:tabs>
              <w:jc w:val="left"/>
              <w:rPr>
                <w:sz w:val="14"/>
                <w:szCs w:val="14"/>
                <w:lang w:val="en-US"/>
              </w:rPr>
            </w:pPr>
          </w:p>
          <w:p w:rsidR="006A61DF" w:rsidRPr="00D91F94" w:rsidRDefault="006A61DF" w:rsidP="006A61DF">
            <w:pPr>
              <w:tabs>
                <w:tab w:val="center" w:pos="4513"/>
                <w:tab w:val="right" w:pos="9026"/>
              </w:tabs>
              <w:jc w:val="left"/>
              <w:rPr>
                <w:sz w:val="14"/>
                <w:szCs w:val="14"/>
                <w:lang w:val="en-US"/>
              </w:rPr>
            </w:pPr>
          </w:p>
          <w:p w:rsidR="004B239B" w:rsidRPr="00D91F94" w:rsidRDefault="004B239B" w:rsidP="004B239B">
            <w:pPr>
              <w:tabs>
                <w:tab w:val="center" w:pos="4513"/>
                <w:tab w:val="right" w:pos="9026"/>
              </w:tabs>
              <w:jc w:val="left"/>
              <w:rPr>
                <w:sz w:val="14"/>
                <w:szCs w:val="14"/>
                <w:lang w:val="en-US"/>
              </w:rPr>
            </w:pPr>
          </w:p>
        </w:tc>
      </w:tr>
      <w:tr w:rsidR="00547CF9" w:rsidRPr="00F22DA4" w:rsidTr="006A61DF">
        <w:trPr>
          <w:trHeight w:val="266"/>
        </w:trPr>
        <w:tc>
          <w:tcPr>
            <w:tcW w:w="8099" w:type="dxa"/>
            <w:tcMar>
              <w:top w:w="0" w:type="dxa"/>
              <w:left w:w="0" w:type="dxa"/>
              <w:bottom w:w="0" w:type="dxa"/>
              <w:right w:w="0" w:type="dxa"/>
            </w:tcMar>
          </w:tcPr>
          <w:p w:rsidR="00071754" w:rsidRDefault="00071754" w:rsidP="00305F30">
            <w:pPr>
              <w:tabs>
                <w:tab w:val="left" w:pos="3270"/>
              </w:tabs>
              <w:jc w:val="left"/>
              <w:rPr>
                <w:rFonts w:eastAsia="Calibri" w:cs="Times New Roman"/>
                <w:szCs w:val="22"/>
                <w:u w:val="single"/>
              </w:rPr>
            </w:pPr>
            <w:r w:rsidRPr="00071754">
              <w:rPr>
                <w:rFonts w:eastAsia="Calibri" w:cs="Times New Roman"/>
                <w:szCs w:val="22"/>
                <w:u w:val="single"/>
              </w:rPr>
              <w:t xml:space="preserve">Weingarten, </w:t>
            </w:r>
            <w:r w:rsidR="00305F30">
              <w:rPr>
                <w:rFonts w:eastAsia="Calibri" w:cs="Times New Roman"/>
                <w:szCs w:val="22"/>
                <w:u w:val="single"/>
              </w:rPr>
              <w:t>2</w:t>
            </w:r>
            <w:r w:rsidR="00DB6801">
              <w:rPr>
                <w:rFonts w:eastAsia="Calibri" w:cs="Times New Roman"/>
                <w:szCs w:val="22"/>
                <w:u w:val="single"/>
              </w:rPr>
              <w:t>7</w:t>
            </w:r>
            <w:r w:rsidR="00305F30">
              <w:rPr>
                <w:rFonts w:eastAsia="Calibri" w:cs="Times New Roman"/>
                <w:szCs w:val="22"/>
                <w:u w:val="single"/>
              </w:rPr>
              <w:t>.</w:t>
            </w:r>
            <w:r w:rsidRPr="00071754">
              <w:rPr>
                <w:rFonts w:eastAsia="Calibri" w:cs="Times New Roman"/>
                <w:szCs w:val="22"/>
                <w:u w:val="single"/>
              </w:rPr>
              <w:t xml:space="preserve"> </w:t>
            </w:r>
            <w:r w:rsidR="00DB6801">
              <w:rPr>
                <w:rFonts w:eastAsia="Calibri" w:cs="Times New Roman"/>
                <w:szCs w:val="22"/>
                <w:u w:val="single"/>
              </w:rPr>
              <w:t>Oktober</w:t>
            </w:r>
            <w:r w:rsidRPr="00071754">
              <w:rPr>
                <w:rFonts w:eastAsia="Calibri" w:cs="Times New Roman"/>
                <w:szCs w:val="22"/>
                <w:u w:val="single"/>
              </w:rPr>
              <w:t xml:space="preserve"> 2016</w:t>
            </w:r>
          </w:p>
          <w:p w:rsidR="00305F30" w:rsidRPr="00071754" w:rsidRDefault="00305F30" w:rsidP="00305F30">
            <w:pPr>
              <w:tabs>
                <w:tab w:val="left" w:pos="3270"/>
              </w:tabs>
              <w:jc w:val="left"/>
              <w:rPr>
                <w:rFonts w:eastAsia="Calibri" w:cs="Times New Roman"/>
                <w:szCs w:val="22"/>
                <w:u w:val="single"/>
              </w:rPr>
            </w:pPr>
          </w:p>
        </w:tc>
        <w:tc>
          <w:tcPr>
            <w:tcW w:w="2126" w:type="dxa"/>
            <w:vMerge w:val="restart"/>
            <w:tcMar>
              <w:top w:w="0" w:type="dxa"/>
              <w:left w:w="0" w:type="dxa"/>
              <w:bottom w:w="0" w:type="dxa"/>
              <w:right w:w="0" w:type="dxa"/>
            </w:tcMar>
          </w:tcPr>
          <w:p w:rsidR="00AA3DD5" w:rsidRPr="00566BCE" w:rsidRDefault="00C34BA7" w:rsidP="006A61DF">
            <w:pPr>
              <w:tabs>
                <w:tab w:val="left" w:pos="709"/>
                <w:tab w:val="right" w:pos="2835"/>
              </w:tabs>
              <w:spacing w:line="200" w:lineRule="atLeast"/>
              <w:jc w:val="left"/>
              <w:rPr>
                <w:color w:val="6F6F6E"/>
                <w:sz w:val="14"/>
                <w:szCs w:val="14"/>
              </w:rPr>
            </w:pPr>
            <w:r w:rsidRPr="00566BCE">
              <w:rPr>
                <w:color w:val="auto"/>
                <w:sz w:val="14"/>
                <w:szCs w:val="14"/>
              </w:rPr>
              <w:t>Kontaktdaten:</w:t>
            </w:r>
          </w:p>
          <w:p w:rsidR="00AA3DD5" w:rsidRPr="00566BCE" w:rsidRDefault="00AA3DD5" w:rsidP="006A61DF">
            <w:pPr>
              <w:tabs>
                <w:tab w:val="left" w:pos="709"/>
                <w:tab w:val="right" w:pos="2835"/>
              </w:tabs>
              <w:spacing w:line="200" w:lineRule="atLeast"/>
              <w:jc w:val="left"/>
              <w:rPr>
                <w:color w:val="auto"/>
                <w:sz w:val="14"/>
                <w:szCs w:val="14"/>
              </w:rPr>
            </w:pPr>
          </w:p>
          <w:p w:rsidR="006A61DF" w:rsidRPr="00566BCE" w:rsidRDefault="006A61DF" w:rsidP="006A61DF">
            <w:pPr>
              <w:tabs>
                <w:tab w:val="left" w:pos="709"/>
                <w:tab w:val="right" w:pos="2835"/>
              </w:tabs>
              <w:spacing w:line="200" w:lineRule="atLeast"/>
              <w:jc w:val="left"/>
              <w:rPr>
                <w:color w:val="auto"/>
                <w:sz w:val="14"/>
                <w:szCs w:val="14"/>
              </w:rPr>
            </w:pPr>
            <w:r w:rsidRPr="00566BCE">
              <w:rPr>
                <w:color w:val="auto"/>
                <w:sz w:val="14"/>
                <w:szCs w:val="14"/>
              </w:rPr>
              <w:t>Franz-Beer-Straße 111</w:t>
            </w:r>
          </w:p>
          <w:p w:rsidR="006A61DF" w:rsidRPr="004C79EB" w:rsidRDefault="006A61DF" w:rsidP="006A61DF">
            <w:pPr>
              <w:tabs>
                <w:tab w:val="left" w:pos="709"/>
                <w:tab w:val="right" w:pos="2835"/>
              </w:tabs>
              <w:spacing w:line="200" w:lineRule="atLeast"/>
              <w:jc w:val="left"/>
              <w:rPr>
                <w:color w:val="auto"/>
                <w:sz w:val="14"/>
                <w:szCs w:val="14"/>
              </w:rPr>
            </w:pPr>
            <w:r w:rsidRPr="004C79EB">
              <w:rPr>
                <w:color w:val="auto"/>
                <w:sz w:val="14"/>
                <w:szCs w:val="14"/>
              </w:rPr>
              <w:t>D-88250 Weingarten</w:t>
            </w:r>
          </w:p>
          <w:p w:rsidR="006A61DF" w:rsidRPr="004C79EB" w:rsidRDefault="006A61DF" w:rsidP="006A61DF">
            <w:pPr>
              <w:tabs>
                <w:tab w:val="left" w:pos="709"/>
                <w:tab w:val="right" w:pos="2835"/>
              </w:tabs>
              <w:spacing w:line="200" w:lineRule="atLeast"/>
              <w:jc w:val="left"/>
              <w:rPr>
                <w:color w:val="auto"/>
                <w:sz w:val="14"/>
                <w:szCs w:val="14"/>
              </w:rPr>
            </w:pPr>
          </w:p>
          <w:p w:rsidR="006A61DF" w:rsidRPr="00566BCE" w:rsidRDefault="006A61DF" w:rsidP="006A61DF">
            <w:pPr>
              <w:tabs>
                <w:tab w:val="left" w:pos="709"/>
                <w:tab w:val="right" w:pos="2835"/>
              </w:tabs>
              <w:spacing w:line="200" w:lineRule="atLeast"/>
              <w:jc w:val="left"/>
              <w:rPr>
                <w:color w:val="auto"/>
                <w:sz w:val="14"/>
                <w:szCs w:val="14"/>
                <w:lang w:val="fr-FR"/>
              </w:rPr>
            </w:pPr>
            <w:r w:rsidRPr="00566BCE">
              <w:rPr>
                <w:color w:val="auto"/>
                <w:sz w:val="14"/>
                <w:szCs w:val="14"/>
                <w:lang w:val="fr-FR"/>
              </w:rPr>
              <w:t>Tel. +49 751 503-248</w:t>
            </w:r>
          </w:p>
          <w:p w:rsidR="006A61DF" w:rsidRPr="00566BCE" w:rsidRDefault="006A61DF" w:rsidP="006A61DF">
            <w:pPr>
              <w:tabs>
                <w:tab w:val="left" w:pos="709"/>
                <w:tab w:val="right" w:pos="2835"/>
              </w:tabs>
              <w:spacing w:line="200" w:lineRule="atLeast"/>
              <w:jc w:val="left"/>
              <w:rPr>
                <w:color w:val="auto"/>
                <w:sz w:val="14"/>
                <w:szCs w:val="14"/>
                <w:lang w:val="fr-FR"/>
              </w:rPr>
            </w:pPr>
            <w:r w:rsidRPr="00566BCE">
              <w:rPr>
                <w:color w:val="auto"/>
                <w:sz w:val="14"/>
                <w:szCs w:val="14"/>
                <w:lang w:val="fr-FR"/>
              </w:rPr>
              <w:t xml:space="preserve">Fax. +49 </w:t>
            </w:r>
            <w:r w:rsidRPr="00566BCE">
              <w:rPr>
                <w:rFonts w:eastAsia="Calibri" w:cs="Times New Roman"/>
                <w:color w:val="auto"/>
                <w:sz w:val="14"/>
                <w:szCs w:val="14"/>
                <w:lang w:val="fr-FR"/>
              </w:rPr>
              <w:t>751</w:t>
            </w:r>
            <w:r w:rsidRPr="00566BCE">
              <w:rPr>
                <w:color w:val="auto"/>
                <w:sz w:val="14"/>
                <w:szCs w:val="14"/>
                <w:lang w:val="fr-FR"/>
              </w:rPr>
              <w:t xml:space="preserve"> 503-7248</w:t>
            </w:r>
          </w:p>
          <w:p w:rsidR="006A61DF" w:rsidRPr="004C79EB" w:rsidRDefault="006A61DF" w:rsidP="006A61DF">
            <w:pPr>
              <w:tabs>
                <w:tab w:val="left" w:pos="709"/>
                <w:tab w:val="right" w:pos="2835"/>
              </w:tabs>
              <w:spacing w:line="200" w:lineRule="atLeast"/>
              <w:jc w:val="left"/>
              <w:rPr>
                <w:color w:val="auto"/>
                <w:sz w:val="14"/>
                <w:szCs w:val="14"/>
                <w:lang w:val="it-IT"/>
              </w:rPr>
            </w:pPr>
            <w:r w:rsidRPr="00566BCE">
              <w:rPr>
                <w:color w:val="auto"/>
                <w:sz w:val="14"/>
                <w:szCs w:val="14"/>
                <w:lang w:val="fr-FR"/>
              </w:rPr>
              <w:t>Mobil</w:t>
            </w:r>
            <w:r w:rsidR="00FE15DA" w:rsidRPr="00566BCE">
              <w:rPr>
                <w:color w:val="auto"/>
                <w:sz w:val="14"/>
                <w:szCs w:val="14"/>
                <w:lang w:val="fr-FR"/>
              </w:rPr>
              <w:t>e</w:t>
            </w:r>
            <w:r w:rsidRPr="00566BCE">
              <w:rPr>
                <w:color w:val="auto"/>
                <w:sz w:val="14"/>
                <w:szCs w:val="14"/>
                <w:lang w:val="fr-FR"/>
              </w:rPr>
              <w:t xml:space="preserve">. </w:t>
            </w:r>
            <w:r w:rsidRPr="004C79EB">
              <w:rPr>
                <w:color w:val="auto"/>
                <w:sz w:val="14"/>
                <w:szCs w:val="14"/>
                <w:lang w:val="it-IT"/>
              </w:rPr>
              <w:t xml:space="preserve">+49 172 667-1341 </w:t>
            </w:r>
          </w:p>
          <w:p w:rsidR="006A61DF" w:rsidRPr="00566BCE" w:rsidRDefault="00F22DA4" w:rsidP="006A61DF">
            <w:pPr>
              <w:tabs>
                <w:tab w:val="left" w:pos="709"/>
                <w:tab w:val="right" w:pos="2835"/>
              </w:tabs>
              <w:spacing w:line="200" w:lineRule="atLeast"/>
              <w:jc w:val="left"/>
              <w:rPr>
                <w:color w:val="auto"/>
                <w:sz w:val="14"/>
                <w:szCs w:val="14"/>
                <w:lang w:val="fr-FR"/>
              </w:rPr>
            </w:pPr>
            <w:hyperlink r:id="rId8" w:history="1">
              <w:r w:rsidR="006A61DF" w:rsidRPr="00566BCE">
                <w:rPr>
                  <w:color w:val="auto"/>
                  <w:sz w:val="14"/>
                  <w:szCs w:val="14"/>
                  <w:lang w:val="fr-FR"/>
                </w:rPr>
                <w:t>matthias.steybe@chg-</w:t>
              </w:r>
            </w:hyperlink>
          </w:p>
          <w:p w:rsidR="006A61DF" w:rsidRPr="00566BCE" w:rsidRDefault="006A61DF" w:rsidP="006A61DF">
            <w:pPr>
              <w:tabs>
                <w:tab w:val="left" w:pos="709"/>
                <w:tab w:val="right" w:pos="2835"/>
              </w:tabs>
              <w:spacing w:line="200" w:lineRule="atLeast"/>
              <w:jc w:val="left"/>
              <w:rPr>
                <w:color w:val="auto"/>
                <w:sz w:val="14"/>
                <w:szCs w:val="14"/>
                <w:lang w:val="fr-FR"/>
              </w:rPr>
            </w:pPr>
            <w:r w:rsidRPr="00566BCE">
              <w:rPr>
                <w:color w:val="auto"/>
                <w:sz w:val="14"/>
                <w:szCs w:val="14"/>
                <w:lang w:val="fr-FR"/>
              </w:rPr>
              <w:t>meridian.de</w:t>
            </w:r>
          </w:p>
          <w:p w:rsidR="006A61DF" w:rsidRPr="00566BCE" w:rsidRDefault="006A61DF" w:rsidP="006A61DF">
            <w:pPr>
              <w:tabs>
                <w:tab w:val="left" w:pos="709"/>
                <w:tab w:val="right" w:pos="2835"/>
              </w:tabs>
              <w:spacing w:line="200" w:lineRule="atLeast"/>
              <w:jc w:val="left"/>
              <w:rPr>
                <w:color w:val="auto"/>
                <w:sz w:val="14"/>
                <w:szCs w:val="14"/>
                <w:lang w:val="fr-FR"/>
              </w:rPr>
            </w:pPr>
          </w:p>
          <w:p w:rsidR="006A61DF" w:rsidRPr="00566BCE" w:rsidRDefault="006A61DF" w:rsidP="006A61DF">
            <w:pPr>
              <w:tabs>
                <w:tab w:val="left" w:pos="709"/>
                <w:tab w:val="right" w:pos="2835"/>
              </w:tabs>
              <w:spacing w:line="200" w:lineRule="atLeast"/>
              <w:jc w:val="left"/>
              <w:rPr>
                <w:color w:val="auto"/>
                <w:sz w:val="14"/>
                <w:szCs w:val="14"/>
                <w:lang w:val="fr-FR"/>
              </w:rPr>
            </w:pPr>
            <w:r w:rsidRPr="00566BCE">
              <w:rPr>
                <w:color w:val="auto"/>
                <w:sz w:val="14"/>
                <w:szCs w:val="14"/>
                <w:lang w:val="fr-FR"/>
              </w:rPr>
              <w:t>www.chg-meridian.com</w:t>
            </w:r>
          </w:p>
          <w:p w:rsidR="00547CF9" w:rsidRPr="00566BCE" w:rsidRDefault="00547CF9" w:rsidP="006A61DF">
            <w:pPr>
              <w:tabs>
                <w:tab w:val="center" w:pos="4513"/>
                <w:tab w:val="right" w:pos="9026"/>
              </w:tabs>
              <w:jc w:val="left"/>
              <w:rPr>
                <w:sz w:val="14"/>
                <w:szCs w:val="14"/>
                <w:lang w:val="fr-FR"/>
              </w:rPr>
            </w:pPr>
          </w:p>
        </w:tc>
      </w:tr>
      <w:tr w:rsidR="00547CF9" w:rsidRPr="00547CF9" w:rsidTr="006A61DF">
        <w:trPr>
          <w:trHeight w:val="237"/>
        </w:trPr>
        <w:tc>
          <w:tcPr>
            <w:tcW w:w="8099" w:type="dxa"/>
            <w:tcMar>
              <w:top w:w="0" w:type="dxa"/>
              <w:left w:w="0" w:type="dxa"/>
              <w:bottom w:w="0" w:type="dxa"/>
              <w:right w:w="284" w:type="dxa"/>
            </w:tcMar>
          </w:tcPr>
          <w:p w:rsidR="00DB6801" w:rsidRPr="00DB6801" w:rsidRDefault="00DB6801" w:rsidP="00DB6801">
            <w:r w:rsidRPr="00DB6801">
              <w:t xml:space="preserve">Im dritten Quartal 2016 konnte die im süddeutschen Weingarten ansässige CHG-MERIDIAN AG ein beschleunigtes Wachstum verbuchen. Der bankenunabhängige Anbieter von </w:t>
            </w:r>
            <w:r w:rsidR="00EB51FA">
              <w:t>effizientem Technologie-</w:t>
            </w:r>
            <w:r w:rsidRPr="00DB6801">
              <w:t xml:space="preserve">Management und </w:t>
            </w:r>
            <w:r w:rsidR="00EB51FA">
              <w:t xml:space="preserve">maßgeschneiderten </w:t>
            </w:r>
            <w:r w:rsidRPr="00DB6801">
              <w:t>Finanzierungslösungen steigerte in den ersten neun Monaten des Kalenderjahres im Vergleich zum Vorjahreszeitraum sein Neuinvestitionsvolumen um 13,4 Prozent auf annähernd 815 Millionen Euro</w:t>
            </w:r>
            <w:r w:rsidR="00DD6CA2">
              <w:t xml:space="preserve"> (Q3-2015: </w:t>
            </w:r>
            <w:r w:rsidR="00DD6CA2">
              <w:rPr>
                <w:rFonts w:eastAsia="Times New Roman" w:cs="Arial"/>
                <w:lang w:eastAsia="de-DE"/>
              </w:rPr>
              <w:t xml:space="preserve">718 </w:t>
            </w:r>
            <w:r w:rsidR="00DD6CA2">
              <w:t>Mio. Euro)</w:t>
            </w:r>
            <w:r w:rsidRPr="00DB6801">
              <w:t>. „Angesichts d</w:t>
            </w:r>
            <w:r w:rsidR="00DD6CA2">
              <w:t xml:space="preserve">es </w:t>
            </w:r>
            <w:r w:rsidRPr="00DB6801">
              <w:t>erfreulichen Wachstums sind wir zuversichtlich</w:t>
            </w:r>
            <w:r w:rsidR="005A0E0B">
              <w:t xml:space="preserve"> hinsichtlich </w:t>
            </w:r>
            <w:r w:rsidRPr="00DB6801">
              <w:t>unsere</w:t>
            </w:r>
            <w:r w:rsidR="005A0E0B">
              <w:t>r</w:t>
            </w:r>
            <w:r w:rsidRPr="00DB6801">
              <w:t xml:space="preserve"> </w:t>
            </w:r>
            <w:r w:rsidR="00DD6CA2">
              <w:t>ambitionierten Z</w:t>
            </w:r>
            <w:r w:rsidRPr="00DB6801">
              <w:t xml:space="preserve">iele“, sagt </w:t>
            </w:r>
            <w:r w:rsidR="00DD6CA2">
              <w:t>Jürgen Mossakowski, Vorstandsvorsitzender der CHG-MERIDIAN Gruppe.</w:t>
            </w:r>
          </w:p>
          <w:p w:rsidR="00305F30" w:rsidRDefault="00305F30" w:rsidP="00071754">
            <w:pPr>
              <w:pStyle w:val="berschrift3"/>
              <w:outlineLvl w:val="2"/>
            </w:pPr>
          </w:p>
          <w:p w:rsidR="00305F30" w:rsidRDefault="00DB6801" w:rsidP="00071754">
            <w:pPr>
              <w:rPr>
                <w:rFonts w:eastAsiaTheme="majorEastAsia" w:cstheme="majorBidi"/>
                <w:b/>
                <w:szCs w:val="28"/>
              </w:rPr>
            </w:pPr>
            <w:r w:rsidRPr="00DB6801">
              <w:rPr>
                <w:rFonts w:eastAsiaTheme="majorEastAsia" w:cstheme="majorBidi"/>
                <w:b/>
                <w:szCs w:val="28"/>
              </w:rPr>
              <w:t>Dynamisches Wachstum in den wichtigsten Märkten</w:t>
            </w:r>
          </w:p>
          <w:p w:rsidR="00DB6801" w:rsidRDefault="00DB6801" w:rsidP="00071754">
            <w:pPr>
              <w:rPr>
                <w:rFonts w:eastAsiaTheme="majorEastAsia" w:cstheme="majorBidi"/>
                <w:b/>
                <w:szCs w:val="28"/>
              </w:rPr>
            </w:pPr>
          </w:p>
          <w:p w:rsidR="00305F30" w:rsidRPr="00DD6CA2" w:rsidRDefault="00DB6801" w:rsidP="00071754">
            <w:r w:rsidRPr="00DB6801">
              <w:t xml:space="preserve">In den meisten Regionen Europas konnte CHG-MERIDIAN ein sehr erfreuliches Wachstum erzielen. </w:t>
            </w:r>
            <w:r w:rsidR="004D3192">
              <w:t>In</w:t>
            </w:r>
            <w:r w:rsidRPr="00DB6801">
              <w:t xml:space="preserve"> </w:t>
            </w:r>
            <w:r w:rsidR="004D3192">
              <w:t xml:space="preserve">der Region </w:t>
            </w:r>
            <w:r w:rsidR="00DD6CA2">
              <w:t>Southern Europe</w:t>
            </w:r>
            <w:r w:rsidRPr="00DB6801">
              <w:t xml:space="preserve"> </w:t>
            </w:r>
            <w:r w:rsidR="004D3192">
              <w:t xml:space="preserve">konnte </w:t>
            </w:r>
            <w:r w:rsidRPr="00DB6801">
              <w:t xml:space="preserve">das </w:t>
            </w:r>
            <w:r w:rsidR="00DD6CA2">
              <w:t>Neun</w:t>
            </w:r>
            <w:r w:rsidRPr="00DB6801">
              <w:t xml:space="preserve">-Monats-Investitionsvolumen im Vergleich zum Vorjahreszeitraum um 31,6 Prozent </w:t>
            </w:r>
            <w:r w:rsidR="00DD6CA2">
              <w:t>auf 10</w:t>
            </w:r>
            <w:r w:rsidR="00137A87">
              <w:t>7</w:t>
            </w:r>
            <w:r w:rsidR="00DD6CA2">
              <w:t xml:space="preserve"> Mio. Euro </w:t>
            </w:r>
            <w:r w:rsidR="004D3192">
              <w:t>gesteigert werden</w:t>
            </w:r>
            <w:r w:rsidR="00DD6CA2">
              <w:t xml:space="preserve"> (Q3-2015: </w:t>
            </w:r>
            <w:r w:rsidR="00DD6CA2">
              <w:rPr>
                <w:rFonts w:eastAsia="Times New Roman" w:cs="Arial"/>
                <w:lang w:eastAsia="de-DE"/>
              </w:rPr>
              <w:t xml:space="preserve">81 </w:t>
            </w:r>
            <w:r w:rsidR="00DD6CA2">
              <w:t>Mio. Euro)</w:t>
            </w:r>
            <w:r w:rsidRPr="00DB6801">
              <w:t xml:space="preserve">, in </w:t>
            </w:r>
            <w:r w:rsidR="00DD6CA2">
              <w:t>Western Europe</w:t>
            </w:r>
            <w:r w:rsidRPr="00DB6801">
              <w:t xml:space="preserve"> lag die Wachstumsrate </w:t>
            </w:r>
            <w:r w:rsidR="004D3192">
              <w:t xml:space="preserve">beim Neuinvestitionsvolumen </w:t>
            </w:r>
            <w:r w:rsidRPr="00DB6801">
              <w:t>bei 7,9 Prozent</w:t>
            </w:r>
            <w:r w:rsidR="00DD6CA2">
              <w:t xml:space="preserve"> und stieg somit auf 130 Mio. Euro </w:t>
            </w:r>
            <w:r w:rsidR="00DD6CA2" w:rsidRPr="00DD6CA2">
              <w:t xml:space="preserve">(Q3-2015: </w:t>
            </w:r>
            <w:r w:rsidR="00DD6CA2" w:rsidRPr="00DD6CA2">
              <w:rPr>
                <w:rFonts w:eastAsia="Times New Roman" w:cs="Arial"/>
                <w:lang w:eastAsia="de-DE"/>
              </w:rPr>
              <w:t xml:space="preserve">121 </w:t>
            </w:r>
            <w:r w:rsidR="00DD6CA2" w:rsidRPr="00DD6CA2">
              <w:t>Mio. Euro)</w:t>
            </w:r>
            <w:r w:rsidRPr="00DD6CA2">
              <w:t>.</w:t>
            </w:r>
            <w:r w:rsidRPr="00DB6801">
              <w:t xml:space="preserve"> </w:t>
            </w:r>
            <w:r w:rsidR="004D3192">
              <w:t xml:space="preserve">Die Region </w:t>
            </w:r>
            <w:r w:rsidR="00DD6CA2">
              <w:t>Central Europe</w:t>
            </w:r>
            <w:r w:rsidRPr="00DB6801">
              <w:t xml:space="preserve"> konnte als volumenstärkstes geografisches Segment ein Plus von 12,3 Prozent vorweisen</w:t>
            </w:r>
            <w:r w:rsidR="00DD6CA2">
              <w:t xml:space="preserve"> und steigerte sich auf 427 Mio. Euro </w:t>
            </w:r>
            <w:r w:rsidR="00DD6CA2" w:rsidRPr="00DD6CA2">
              <w:t xml:space="preserve">(Q3-2015: </w:t>
            </w:r>
            <w:r w:rsidR="00DD6CA2" w:rsidRPr="00DD6CA2">
              <w:rPr>
                <w:rFonts w:eastAsia="Times New Roman" w:cs="Arial"/>
                <w:lang w:eastAsia="de-DE"/>
              </w:rPr>
              <w:t xml:space="preserve">380 </w:t>
            </w:r>
            <w:r w:rsidR="00DD6CA2" w:rsidRPr="00DD6CA2">
              <w:t>Mio. Euro).</w:t>
            </w:r>
            <w:r w:rsidRPr="00DD6CA2">
              <w:t xml:space="preserve"> </w:t>
            </w:r>
            <w:r w:rsidR="005A0E0B">
              <w:t>Leicht r</w:t>
            </w:r>
            <w:r w:rsidRPr="00DD6CA2">
              <w:t>ückläufige Investitionszahlen waren hingegen in de</w:t>
            </w:r>
            <w:r w:rsidR="00DD6CA2" w:rsidRPr="00DD6CA2">
              <w:t>r</w:t>
            </w:r>
            <w:r w:rsidRPr="00DD6CA2">
              <w:t xml:space="preserve"> </w:t>
            </w:r>
            <w:r w:rsidR="00DD6CA2" w:rsidRPr="00DD6CA2">
              <w:t>Region Northeastern Europe</w:t>
            </w:r>
            <w:r w:rsidRPr="00DD6CA2">
              <w:t xml:space="preserve"> zu verbuchen. </w:t>
            </w:r>
          </w:p>
          <w:p w:rsidR="00DB6801" w:rsidRPr="00DD6CA2" w:rsidRDefault="00DB6801" w:rsidP="00071754"/>
          <w:p w:rsidR="00305F30" w:rsidRDefault="00DB6801" w:rsidP="00071754">
            <w:r w:rsidRPr="00DD6CA2">
              <w:t xml:space="preserve">Lebhaftes Wachstum kann auch der Absatzmarkt </w:t>
            </w:r>
            <w:r w:rsidR="004D3192">
              <w:t xml:space="preserve">Americas </w:t>
            </w:r>
            <w:r w:rsidRPr="00DD6CA2">
              <w:t xml:space="preserve">mit einem </w:t>
            </w:r>
            <w:r w:rsidR="004D3192">
              <w:t xml:space="preserve">Anstieg </w:t>
            </w:r>
            <w:r w:rsidRPr="00DD6CA2">
              <w:t>um 24,8 Prozent gestiegenen Investitionsvolumen vorweisen</w:t>
            </w:r>
            <w:r w:rsidR="00DD6CA2" w:rsidRPr="00DD6CA2">
              <w:t xml:space="preserve">, das </w:t>
            </w:r>
            <w:r w:rsidR="004D3192">
              <w:t xml:space="preserve">sich </w:t>
            </w:r>
            <w:r w:rsidR="00DD6CA2" w:rsidRPr="00DD6CA2">
              <w:t xml:space="preserve">auf 115 Mio. Euro </w:t>
            </w:r>
            <w:r w:rsidR="004D3192">
              <w:t>beläuft</w:t>
            </w:r>
            <w:r w:rsidR="00DD6CA2" w:rsidRPr="00DD6CA2">
              <w:t xml:space="preserve"> (Q3-2015: </w:t>
            </w:r>
            <w:r w:rsidR="00DD6CA2" w:rsidRPr="00DD6CA2">
              <w:rPr>
                <w:rFonts w:eastAsia="Times New Roman" w:cs="Arial"/>
                <w:lang w:eastAsia="de-DE"/>
              </w:rPr>
              <w:t xml:space="preserve">92 </w:t>
            </w:r>
            <w:r w:rsidR="00DD6CA2" w:rsidRPr="00DD6CA2">
              <w:t>Mio. Euro)</w:t>
            </w:r>
            <w:r w:rsidRPr="00DD6CA2">
              <w:t>.</w:t>
            </w:r>
            <w:r w:rsidRPr="00DB6801">
              <w:t xml:space="preserve"> Der Rohertrag des Gesamtgeschäftes reduzierte sich </w:t>
            </w:r>
            <w:r w:rsidR="004D3192">
              <w:t xml:space="preserve">hingegen </w:t>
            </w:r>
            <w:r w:rsidRPr="00DB6801">
              <w:t>leicht um 5,2 Prozent auf knapp 116 Millionen Euro</w:t>
            </w:r>
            <w:r w:rsidR="004D3192">
              <w:t xml:space="preserve"> (Q3-2015: </w:t>
            </w:r>
            <w:r w:rsidR="004D3192">
              <w:rPr>
                <w:rFonts w:eastAsia="Times New Roman" w:cs="Arial"/>
                <w:lang w:eastAsia="de-DE"/>
              </w:rPr>
              <w:t xml:space="preserve">122 </w:t>
            </w:r>
            <w:r w:rsidR="004D3192">
              <w:t>Mio. Euro)</w:t>
            </w:r>
            <w:r w:rsidRPr="00DB6801">
              <w:t>.</w:t>
            </w:r>
          </w:p>
          <w:p w:rsidR="00305F30" w:rsidRDefault="00305F30" w:rsidP="00305F30"/>
          <w:p w:rsidR="00305F30" w:rsidRPr="00821F61" w:rsidRDefault="00DB6801" w:rsidP="00305F30">
            <w:pPr>
              <w:rPr>
                <w:b/>
                <w:bCs/>
                <w:iCs/>
              </w:rPr>
            </w:pPr>
            <w:r w:rsidRPr="00821F61">
              <w:rPr>
                <w:b/>
                <w:bCs/>
                <w:iCs/>
              </w:rPr>
              <w:t xml:space="preserve">Starke Nachfrage nach zertifizierter Datenlöschung </w:t>
            </w:r>
            <w:r w:rsidR="004D3192" w:rsidRPr="00821F61">
              <w:rPr>
                <w:b/>
                <w:bCs/>
                <w:iCs/>
              </w:rPr>
              <w:t>eraSURE</w:t>
            </w:r>
          </w:p>
          <w:p w:rsidR="00DB6801" w:rsidRDefault="00DB6801" w:rsidP="00305F30"/>
          <w:p w:rsidR="00071754" w:rsidRPr="00AA3DD5" w:rsidRDefault="00DB6801" w:rsidP="00D45803">
            <w:r w:rsidRPr="00DB6801">
              <w:t xml:space="preserve">Eine kräftige Belebung verzeichnete CHG-MERIDIAN im Bereich der </w:t>
            </w:r>
            <w:r w:rsidR="004D3192">
              <w:t>zertifizierten</w:t>
            </w:r>
            <w:r w:rsidRPr="00DB6801">
              <w:t xml:space="preserve"> Datenlöschung</w:t>
            </w:r>
            <w:r w:rsidR="004D3192">
              <w:t xml:space="preserve"> am Ende des Technologie-Lebenszyklus. M</w:t>
            </w:r>
            <w:r w:rsidRPr="00DB6801">
              <w:t>it eraSURE</w:t>
            </w:r>
            <w:r w:rsidR="004D3192">
              <w:t xml:space="preserve"> wird</w:t>
            </w:r>
            <w:r w:rsidRPr="00DB6801">
              <w:t xml:space="preserve"> ein selbst entwickelter und von unabhängigen Prüfstellen zertifizierter </w:t>
            </w:r>
            <w:r w:rsidR="004D3192">
              <w:t>Löschp</w:t>
            </w:r>
            <w:r w:rsidRPr="00DB6801">
              <w:t>rozess angeboten</w:t>
            </w:r>
            <w:r w:rsidR="004D3192">
              <w:t>, in dem a</w:t>
            </w:r>
            <w:r w:rsidRPr="00DB6801">
              <w:t xml:space="preserve">utomatisiert und überwacht Datenspeicher unterschiedlichster Bauweise </w:t>
            </w:r>
            <w:r w:rsidR="004D3192">
              <w:t xml:space="preserve">vom Notebook bis hin zum Mobiltelefon </w:t>
            </w:r>
            <w:r w:rsidRPr="00DB6801">
              <w:t>zuverlässig gelöscht</w:t>
            </w:r>
            <w:r w:rsidR="004D3192">
              <w:t xml:space="preserve"> werden</w:t>
            </w:r>
            <w:r w:rsidRPr="00DB6801">
              <w:t>. Dabei können Kunden</w:t>
            </w:r>
            <w:r w:rsidR="00F22DA4">
              <w:t>,</w:t>
            </w:r>
            <w:r w:rsidRPr="00DB6801">
              <w:t xml:space="preserve"> je nach Sensibilität der auf dem Datenträger enthaltenen Informationen</w:t>
            </w:r>
            <w:r w:rsidR="00F22DA4">
              <w:t>,</w:t>
            </w:r>
            <w:bookmarkStart w:id="0" w:name="_GoBack"/>
            <w:bookmarkEnd w:id="0"/>
            <w:r w:rsidRPr="00DB6801">
              <w:t xml:space="preserve"> individuelle </w:t>
            </w:r>
            <w:r w:rsidRPr="00DB6801">
              <w:lastRenderedPageBreak/>
              <w:t xml:space="preserve">Sicherheitsstufen wählen. Bereits in den ersten neun Monaten des laufenden Jahres wurden mehr als 107.000 Geräte </w:t>
            </w:r>
            <w:r w:rsidR="00D45803">
              <w:t>zertifiziert</w:t>
            </w:r>
            <w:r w:rsidRPr="00DB6801">
              <w:t xml:space="preserve"> gelöscht, was einem Anstieg um 28,7 Prozent entspricht</w:t>
            </w:r>
            <w:r w:rsidR="004D3192">
              <w:t xml:space="preserve"> (Q3-2015: </w:t>
            </w:r>
            <w:r w:rsidR="004D3192">
              <w:rPr>
                <w:rFonts w:eastAsia="Times New Roman" w:cs="Arial"/>
                <w:lang w:eastAsia="de-DE"/>
              </w:rPr>
              <w:t xml:space="preserve">84.000 </w:t>
            </w:r>
            <w:r w:rsidR="004D3192">
              <w:t>Stück)</w:t>
            </w:r>
            <w:r w:rsidRPr="00DB6801">
              <w:t>.</w:t>
            </w:r>
          </w:p>
        </w:tc>
        <w:tc>
          <w:tcPr>
            <w:tcW w:w="2126" w:type="dxa"/>
            <w:vMerge/>
            <w:tcMar>
              <w:top w:w="0" w:type="dxa"/>
              <w:left w:w="0" w:type="dxa"/>
              <w:bottom w:w="0" w:type="dxa"/>
              <w:right w:w="284" w:type="dxa"/>
            </w:tcMar>
          </w:tcPr>
          <w:p w:rsidR="00547CF9" w:rsidRPr="00547CF9" w:rsidRDefault="00547CF9" w:rsidP="00547CF9">
            <w:pPr>
              <w:rPr>
                <w:szCs w:val="14"/>
              </w:rPr>
            </w:pPr>
          </w:p>
        </w:tc>
      </w:tr>
    </w:tbl>
    <w:p w:rsidR="00AA3DD5" w:rsidRDefault="00AA3DD5" w:rsidP="00AA3DD5"/>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547CF9" w:rsidTr="00E16161">
        <w:trPr>
          <w:trHeight w:val="3961"/>
        </w:trPr>
        <w:tc>
          <w:tcPr>
            <w:tcW w:w="9356" w:type="dxa"/>
            <w:tcMar>
              <w:top w:w="0" w:type="dxa"/>
              <w:left w:w="0" w:type="dxa"/>
              <w:bottom w:w="0" w:type="dxa"/>
              <w:right w:w="284" w:type="dxa"/>
            </w:tcMar>
          </w:tcPr>
          <w:p w:rsidR="00DB6801" w:rsidRDefault="00196EC6" w:rsidP="00DB6801">
            <w:r>
              <w:rPr>
                <w:b/>
                <w:bCs/>
              </w:rPr>
              <w:t xml:space="preserve">IT-Lösung </w:t>
            </w:r>
            <w:r w:rsidR="00DB6801">
              <w:rPr>
                <w:b/>
                <w:bCs/>
              </w:rPr>
              <w:t>Enterprise Mobility Solutions überzeugend gestartet</w:t>
            </w:r>
            <w:r w:rsidR="00DB6801">
              <w:t xml:space="preserve"> </w:t>
            </w:r>
          </w:p>
          <w:p w:rsidR="00DB6801" w:rsidRDefault="00DB6801" w:rsidP="00DB6801"/>
          <w:p w:rsidR="00DB6801" w:rsidRPr="00821F61" w:rsidRDefault="00DB6801" w:rsidP="00DB6801">
            <w:pPr>
              <w:rPr>
                <w:color w:val="auto"/>
              </w:rPr>
            </w:pPr>
            <w:r>
              <w:t>Schon kurz nach der Markteinführung im Juni 2016 zeigt das große Kundeninteresse an dem neuen Leistungspaket Enterprise Mobility Solutions</w:t>
            </w:r>
            <w:r w:rsidR="00821F61">
              <w:t xml:space="preserve"> </w:t>
            </w:r>
            <w:r w:rsidR="00DA25C5">
              <w:t xml:space="preserve">(EMS) </w:t>
            </w:r>
            <w:r w:rsidR="00821F61">
              <w:t>in der Region Central Europa</w:t>
            </w:r>
            <w:r>
              <w:t>, dass die ganzheitliche Lösung für mobiles Arbeiten ein großes Erfolgspotenzial mit sich bringt</w:t>
            </w:r>
            <w:r w:rsidR="00D45803">
              <w:t>:</w:t>
            </w:r>
            <w:r>
              <w:t xml:space="preserve"> Mit </w:t>
            </w:r>
            <w:r w:rsidR="00196EC6">
              <w:t xml:space="preserve">der IT-Lösung </w:t>
            </w:r>
            <w:r>
              <w:t xml:space="preserve">können Unternehmen bei der Ausrüstung ihrer mobilen Arbeitsplätze eine einheitliche Strategie verfolgen, ohne dabei auf Freiheit und </w:t>
            </w:r>
            <w:r w:rsidR="00D45803">
              <w:t>Schutz</w:t>
            </w:r>
            <w:r>
              <w:t xml:space="preserve"> verzichten zu müssen. „Dank freier Gerätewahl und individueller Tarifeinstellungen kann die mobile Infrastruktur kostengünstig gestaltet und optimal auf den Bedarf des Unternehmens zugeschnitten werden“, erläut</w:t>
            </w:r>
            <w:r w:rsidRPr="00821F61">
              <w:rPr>
                <w:color w:val="auto"/>
              </w:rPr>
              <w:t xml:space="preserve">ert </w:t>
            </w:r>
            <w:r w:rsidR="00196EC6" w:rsidRPr="00821F61">
              <w:rPr>
                <w:color w:val="auto"/>
              </w:rPr>
              <w:t>Frank Kottmann, Mitglied des Vorstands von CHG-MERIDIAN</w:t>
            </w:r>
            <w:r w:rsidR="00821F61">
              <w:rPr>
                <w:color w:val="auto"/>
              </w:rPr>
              <w:t xml:space="preserve"> und in dieser Funktion verantwortlich für den Vertrieb in Central Europe</w:t>
            </w:r>
            <w:r w:rsidRPr="00821F61">
              <w:rPr>
                <w:color w:val="auto"/>
              </w:rPr>
              <w:t xml:space="preserve">. </w:t>
            </w:r>
          </w:p>
          <w:p w:rsidR="00DB6801" w:rsidRDefault="00DB6801" w:rsidP="00DB6801"/>
          <w:p w:rsidR="00DB6801" w:rsidRDefault="00DB6801" w:rsidP="00DB6801">
            <w:r>
              <w:t xml:space="preserve">CHG-MERIDIAN bietet hierzu eine Komplettlösung, die von der Finanzierung und Gerätelieferung über Konfiguration und Reparaturservice bis hin zur </w:t>
            </w:r>
            <w:r w:rsidR="00821F61">
              <w:t>zertifizierten</w:t>
            </w:r>
            <w:r>
              <w:t xml:space="preserve"> Datenlöschung am Ende des Nutzungszyklus praktisch alle Leistungen rund um den mobilen Arbeitsplatz aus einer Hand enthält. Dadurch werden die internen Ressourcen beim Anwender enorm entlastet – ein Konzept, das von Beginn an am Markt hervorragend angenommen wurde, wie </w:t>
            </w:r>
            <w:r w:rsidR="00821F61" w:rsidRPr="00821F61">
              <w:rPr>
                <w:color w:val="auto"/>
              </w:rPr>
              <w:t>Kottmann</w:t>
            </w:r>
            <w:r w:rsidRPr="00821F61">
              <w:rPr>
                <w:color w:val="auto"/>
              </w:rPr>
              <w:t xml:space="preserve"> </w:t>
            </w:r>
            <w:r>
              <w:t>berichtet: „Mit Enterprise Mobility Solutions haben wir für das Management mobiler Technologie eine zukunftsweisende Lösung im Portfolio, die sich schon kurz nach dem Start zu einer weiteren tragenden Säule bei Umsatz und Ertrag entwickel</w:t>
            </w:r>
            <w:r w:rsidR="00821F61">
              <w:t>n kann</w:t>
            </w:r>
            <w:r>
              <w:t>.“</w:t>
            </w:r>
          </w:p>
          <w:p w:rsidR="00DB6801" w:rsidRDefault="00DB6801" w:rsidP="00DB6801"/>
          <w:p w:rsidR="00DB6801" w:rsidRDefault="00DB6801" w:rsidP="00DB6801">
            <w:r w:rsidRPr="00F649D6">
              <w:t xml:space="preserve">Weitere Informationen </w:t>
            </w:r>
            <w:r>
              <w:t>und Fotos finden S</w:t>
            </w:r>
            <w:r w:rsidRPr="00F649D6">
              <w:t xml:space="preserve">ie unter: </w:t>
            </w:r>
            <w:hyperlink r:id="rId9" w:history="1">
              <w:r w:rsidRPr="00815256">
                <w:rPr>
                  <w:rStyle w:val="Hyperlink"/>
                  <w:b/>
                  <w:color w:val="auto"/>
                </w:rPr>
                <w:t>www.chg-meridian.com</w:t>
              </w:r>
            </w:hyperlink>
            <w:r w:rsidRPr="00815256">
              <w:t xml:space="preserve"> </w:t>
            </w:r>
          </w:p>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Default="00721ADA" w:rsidP="00071754"/>
          <w:p w:rsidR="00721ADA" w:rsidRPr="00F649D6" w:rsidRDefault="00721ADA" w:rsidP="00071754"/>
          <w:p w:rsidR="00AA3DD5" w:rsidRPr="007D2BDB" w:rsidRDefault="00AA3DD5" w:rsidP="000733A9">
            <w:pPr>
              <w:pStyle w:val="AufzhlungspunkteCHG-MERIDIAN"/>
              <w:numPr>
                <w:ilvl w:val="0"/>
                <w:numId w:val="0"/>
              </w:numPr>
              <w:rPr>
                <w:noProof/>
              </w:rPr>
            </w:pPr>
          </w:p>
        </w:tc>
      </w:tr>
      <w:tr w:rsidR="006779EB" w:rsidRPr="00547CF9" w:rsidTr="00E16161">
        <w:trPr>
          <w:trHeight w:val="429"/>
        </w:trPr>
        <w:tc>
          <w:tcPr>
            <w:tcW w:w="9356" w:type="dxa"/>
            <w:tcMar>
              <w:top w:w="0" w:type="dxa"/>
              <w:left w:w="0" w:type="dxa"/>
              <w:bottom w:w="0" w:type="dxa"/>
              <w:right w:w="284" w:type="dxa"/>
            </w:tcMar>
          </w:tcPr>
          <w:p w:rsidR="00C96EAA" w:rsidRPr="002E23B1" w:rsidRDefault="00C96EAA" w:rsidP="00C96EAA">
            <w:pPr>
              <w:pStyle w:val="berschrift3"/>
              <w:outlineLvl w:val="2"/>
            </w:pPr>
            <w:r w:rsidRPr="002E23B1">
              <w:lastRenderedPageBreak/>
              <w:t>Finanzkennzahlen CHG-MERIDIAN</w:t>
            </w:r>
            <w:r>
              <w:t xml:space="preserve"> Gruppe </w:t>
            </w:r>
            <w:r w:rsidRPr="002E23B1">
              <w:t xml:space="preserve">– </w:t>
            </w:r>
            <w:r w:rsidR="00C34BA7">
              <w:t>zum</w:t>
            </w:r>
            <w:r>
              <w:t xml:space="preserve"> </w:t>
            </w:r>
            <w:r w:rsidRPr="002E23B1">
              <w:t>3</w:t>
            </w:r>
            <w:r w:rsidR="00305F30">
              <w:t>0.0</w:t>
            </w:r>
            <w:r w:rsidR="00137A87">
              <w:t>9</w:t>
            </w:r>
            <w:r w:rsidRPr="002E23B1">
              <w:t>.201</w:t>
            </w:r>
            <w:r>
              <w:t>6</w:t>
            </w:r>
          </w:p>
          <w:p w:rsidR="006779EB" w:rsidRPr="00492B12" w:rsidRDefault="006779EB" w:rsidP="00492B12">
            <w:pPr>
              <w:rPr>
                <w:b/>
              </w:rPr>
            </w:pPr>
          </w:p>
        </w:tc>
      </w:tr>
      <w:tr w:rsidR="006779EB" w:rsidRPr="00547CF9" w:rsidTr="00E16161">
        <w:trPr>
          <w:trHeight w:val="515"/>
        </w:trPr>
        <w:tc>
          <w:tcPr>
            <w:tcW w:w="9356" w:type="dxa"/>
            <w:tcMar>
              <w:top w:w="0" w:type="dxa"/>
              <w:left w:w="0" w:type="dxa"/>
              <w:bottom w:w="0" w:type="dxa"/>
              <w:right w:w="284" w:type="dxa"/>
            </w:tcMar>
          </w:tcPr>
          <w:tbl>
            <w:tblPr>
              <w:tblpPr w:leftFromText="180" w:rightFromText="180" w:vertAnchor="text" w:horzAnchor="margin" w:tblpY="-160"/>
              <w:tblOverlap w:val="never"/>
              <w:tblW w:w="9072" w:type="dxa"/>
              <w:tblLayout w:type="fixed"/>
              <w:tblCellMar>
                <w:left w:w="70" w:type="dxa"/>
                <w:right w:w="70" w:type="dxa"/>
              </w:tblCellMar>
              <w:tblLook w:val="04A0" w:firstRow="1" w:lastRow="0" w:firstColumn="1" w:lastColumn="0" w:noHBand="0" w:noVBand="1"/>
            </w:tblPr>
            <w:tblGrid>
              <w:gridCol w:w="3686"/>
              <w:gridCol w:w="1984"/>
              <w:gridCol w:w="1701"/>
              <w:gridCol w:w="1701"/>
            </w:tblGrid>
            <w:tr w:rsidR="00C96EAA" w:rsidRPr="002E23B1" w:rsidTr="0022572B">
              <w:trPr>
                <w:trHeight w:val="373"/>
              </w:trPr>
              <w:tc>
                <w:tcPr>
                  <w:tcW w:w="3686" w:type="dxa"/>
                  <w:shd w:val="clear" w:color="auto" w:fill="ACA53D"/>
                  <w:noWrap/>
                  <w:vAlign w:val="center"/>
                  <w:hideMark/>
                </w:tcPr>
                <w:p w:rsidR="00C96EAA" w:rsidRPr="002E23B1" w:rsidRDefault="00C96EAA" w:rsidP="00C96EAA">
                  <w:pPr>
                    <w:jc w:val="left"/>
                    <w:rPr>
                      <w:b/>
                      <w:color w:val="F8F8F8"/>
                      <w:szCs w:val="19"/>
                    </w:rPr>
                  </w:pPr>
                  <w:r w:rsidRPr="002E23B1">
                    <w:rPr>
                      <w:b/>
                      <w:color w:val="F8F8F8"/>
                      <w:szCs w:val="19"/>
                    </w:rPr>
                    <w:t>in TEUR</w:t>
                  </w:r>
                </w:p>
              </w:tc>
              <w:tc>
                <w:tcPr>
                  <w:tcW w:w="1984" w:type="dxa"/>
                  <w:shd w:val="clear" w:color="auto" w:fill="ACA53D"/>
                  <w:noWrap/>
                  <w:vAlign w:val="center"/>
                  <w:hideMark/>
                </w:tcPr>
                <w:p w:rsidR="00C96EAA" w:rsidRPr="002E23B1" w:rsidRDefault="00305F30" w:rsidP="00DB6801">
                  <w:pPr>
                    <w:jc w:val="right"/>
                    <w:rPr>
                      <w:b/>
                      <w:color w:val="F8F8F8"/>
                      <w:szCs w:val="19"/>
                    </w:rPr>
                  </w:pPr>
                  <w:r>
                    <w:rPr>
                      <w:b/>
                      <w:color w:val="F8F8F8"/>
                      <w:szCs w:val="19"/>
                    </w:rPr>
                    <w:t>3</w:t>
                  </w:r>
                  <w:r w:rsidR="00DB6801">
                    <w:rPr>
                      <w:b/>
                      <w:color w:val="F8F8F8"/>
                      <w:szCs w:val="19"/>
                    </w:rPr>
                    <w:t>0</w:t>
                  </w:r>
                  <w:r>
                    <w:rPr>
                      <w:b/>
                      <w:color w:val="F8F8F8"/>
                      <w:szCs w:val="19"/>
                    </w:rPr>
                    <w:t>.0</w:t>
                  </w:r>
                  <w:r w:rsidR="00DB6801">
                    <w:rPr>
                      <w:b/>
                      <w:color w:val="F8F8F8"/>
                      <w:szCs w:val="19"/>
                    </w:rPr>
                    <w:t>9</w:t>
                  </w:r>
                  <w:r w:rsidR="00C96EAA">
                    <w:rPr>
                      <w:b/>
                      <w:color w:val="F8F8F8"/>
                      <w:szCs w:val="19"/>
                    </w:rPr>
                    <w:t>.2016</w:t>
                  </w:r>
                </w:p>
              </w:tc>
              <w:tc>
                <w:tcPr>
                  <w:tcW w:w="1701" w:type="dxa"/>
                  <w:shd w:val="clear" w:color="auto" w:fill="ACA53D"/>
                  <w:noWrap/>
                  <w:vAlign w:val="center"/>
                  <w:hideMark/>
                </w:tcPr>
                <w:p w:rsidR="00C96EAA" w:rsidRPr="002E23B1" w:rsidRDefault="00305F30" w:rsidP="00DB6801">
                  <w:pPr>
                    <w:jc w:val="right"/>
                    <w:rPr>
                      <w:b/>
                      <w:color w:val="F8F8F8"/>
                      <w:szCs w:val="19"/>
                    </w:rPr>
                  </w:pPr>
                  <w:r>
                    <w:rPr>
                      <w:b/>
                      <w:color w:val="F8F8F8"/>
                      <w:szCs w:val="19"/>
                    </w:rPr>
                    <w:t>30</w:t>
                  </w:r>
                  <w:r w:rsidR="00C96EAA">
                    <w:rPr>
                      <w:b/>
                      <w:color w:val="F8F8F8"/>
                      <w:szCs w:val="19"/>
                    </w:rPr>
                    <w:t>.0</w:t>
                  </w:r>
                  <w:r w:rsidR="00DB6801">
                    <w:rPr>
                      <w:b/>
                      <w:color w:val="F8F8F8"/>
                      <w:szCs w:val="19"/>
                    </w:rPr>
                    <w:t>9</w:t>
                  </w:r>
                  <w:r w:rsidR="00C96EAA">
                    <w:rPr>
                      <w:b/>
                      <w:color w:val="F8F8F8"/>
                      <w:szCs w:val="19"/>
                    </w:rPr>
                    <w:t>.2015</w:t>
                  </w:r>
                </w:p>
              </w:tc>
              <w:tc>
                <w:tcPr>
                  <w:tcW w:w="1701" w:type="dxa"/>
                  <w:shd w:val="clear" w:color="auto" w:fill="ACA53D"/>
                  <w:vAlign w:val="center"/>
                </w:tcPr>
                <w:p w:rsidR="00C96EAA" w:rsidRPr="002E23B1" w:rsidRDefault="00C96EAA" w:rsidP="00C96EAA">
                  <w:pPr>
                    <w:jc w:val="right"/>
                    <w:rPr>
                      <w:b/>
                      <w:color w:val="F8F8F8"/>
                      <w:szCs w:val="19"/>
                    </w:rPr>
                  </w:pPr>
                  <w:r>
                    <w:rPr>
                      <w:b/>
                      <w:color w:val="F8F8F8"/>
                      <w:szCs w:val="19"/>
                    </w:rPr>
                    <w:t>2015</w:t>
                  </w:r>
                </w:p>
              </w:tc>
            </w:tr>
            <w:tr w:rsidR="00C96EAA" w:rsidRPr="002E23B1" w:rsidTr="0022572B">
              <w:trPr>
                <w:trHeight w:val="426"/>
              </w:trPr>
              <w:tc>
                <w:tcPr>
                  <w:tcW w:w="3686" w:type="dxa"/>
                  <w:noWrap/>
                  <w:vAlign w:val="bottom"/>
                  <w:hideMark/>
                </w:tcPr>
                <w:p w:rsidR="00C96EAA" w:rsidRPr="003F0C3B" w:rsidRDefault="00C96EAA" w:rsidP="00C96EAA">
                  <w:pPr>
                    <w:jc w:val="left"/>
                    <w:rPr>
                      <w:rFonts w:eastAsia="Times New Roman" w:cs="Arial"/>
                      <w:color w:val="000000"/>
                      <w:szCs w:val="19"/>
                      <w:lang w:eastAsia="de-DE"/>
                    </w:rPr>
                  </w:pPr>
                  <w:r w:rsidRPr="003F0C3B">
                    <w:rPr>
                      <w:rFonts w:eastAsia="Times New Roman" w:cs="Arial"/>
                      <w:color w:val="000000"/>
                      <w:szCs w:val="19"/>
                      <w:lang w:eastAsia="de-DE"/>
                    </w:rPr>
                    <w:t>Neuinvestitionsvolumen Gruppe</w:t>
                  </w:r>
                </w:p>
              </w:tc>
              <w:tc>
                <w:tcPr>
                  <w:tcW w:w="1984" w:type="dxa"/>
                  <w:noWrap/>
                  <w:vAlign w:val="bottom"/>
                </w:tcPr>
                <w:p w:rsidR="00C96EAA" w:rsidRPr="002E23B1" w:rsidRDefault="00EB51FA" w:rsidP="00DB6801">
                  <w:pPr>
                    <w:jc w:val="right"/>
                    <w:rPr>
                      <w:rFonts w:eastAsia="Times New Roman" w:cs="Arial"/>
                      <w:szCs w:val="19"/>
                      <w:lang w:eastAsia="de-DE"/>
                    </w:rPr>
                  </w:pPr>
                  <w:r>
                    <w:rPr>
                      <w:rFonts w:eastAsia="Times New Roman" w:cs="Arial"/>
                      <w:szCs w:val="19"/>
                      <w:lang w:eastAsia="de-DE"/>
                    </w:rPr>
                    <w:t>814.954</w:t>
                  </w:r>
                </w:p>
              </w:tc>
              <w:tc>
                <w:tcPr>
                  <w:tcW w:w="1701" w:type="dxa"/>
                  <w:noWrap/>
                  <w:vAlign w:val="bottom"/>
                  <w:hideMark/>
                </w:tcPr>
                <w:p w:rsidR="00C96EAA" w:rsidRPr="002E23B1" w:rsidRDefault="00EB51FA" w:rsidP="00DB6801">
                  <w:pPr>
                    <w:jc w:val="right"/>
                    <w:rPr>
                      <w:rFonts w:eastAsia="Times New Roman" w:cs="Arial"/>
                      <w:szCs w:val="19"/>
                      <w:lang w:eastAsia="de-DE"/>
                    </w:rPr>
                  </w:pPr>
                  <w:r>
                    <w:rPr>
                      <w:rFonts w:eastAsia="Times New Roman" w:cs="Arial"/>
                      <w:szCs w:val="19"/>
                      <w:lang w:eastAsia="de-DE"/>
                    </w:rPr>
                    <w:t>718.414</w:t>
                  </w:r>
                </w:p>
              </w:tc>
              <w:tc>
                <w:tcPr>
                  <w:tcW w:w="1701" w:type="dxa"/>
                  <w:vAlign w:val="bottom"/>
                </w:tcPr>
                <w:p w:rsidR="00C96EAA" w:rsidRPr="0022572B" w:rsidRDefault="00C96EAA" w:rsidP="00C96EAA">
                  <w:pPr>
                    <w:jc w:val="right"/>
                    <w:rPr>
                      <w:rFonts w:eastAsia="Times New Roman" w:cs="Arial"/>
                      <w:szCs w:val="19"/>
                      <w:lang w:eastAsia="de-DE"/>
                    </w:rPr>
                  </w:pPr>
                  <w:r w:rsidRPr="0022572B">
                    <w:rPr>
                      <w:rFonts w:eastAsia="Times New Roman" w:cs="Arial"/>
                      <w:szCs w:val="19"/>
                      <w:lang w:eastAsia="de-DE"/>
                    </w:rPr>
                    <w:t>1.056.511</w:t>
                  </w:r>
                </w:p>
              </w:tc>
            </w:tr>
            <w:tr w:rsidR="00C96EAA" w:rsidRPr="002E23B1" w:rsidTr="0022572B">
              <w:trPr>
                <w:trHeight w:val="426"/>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lang w:eastAsia="de-DE"/>
                    </w:rPr>
                  </w:pPr>
                  <w:r w:rsidRPr="003F0C3B">
                    <w:rPr>
                      <w:rFonts w:eastAsia="Times New Roman" w:cs="Arial"/>
                      <w:color w:val="000000"/>
                      <w:szCs w:val="19"/>
                      <w:lang w:eastAsia="de-DE"/>
                    </w:rPr>
                    <w:t>nach Regionen:</w:t>
                  </w:r>
                </w:p>
              </w:tc>
              <w:tc>
                <w:tcPr>
                  <w:tcW w:w="1984" w:type="dxa"/>
                  <w:shd w:val="clear" w:color="auto" w:fill="FFFFFF" w:themeFill="background1" w:themeFillTint="66"/>
                  <w:noWrap/>
                  <w:vAlign w:val="bottom"/>
                </w:tcPr>
                <w:p w:rsidR="00C96EAA" w:rsidRPr="002E23B1" w:rsidRDefault="00C96EAA" w:rsidP="00C96EAA">
                  <w:pPr>
                    <w:jc w:val="left"/>
                    <w:rPr>
                      <w:rFonts w:ascii="Calibri" w:hAnsi="Calibri"/>
                      <w:sz w:val="20"/>
                      <w:szCs w:val="20"/>
                      <w:lang w:eastAsia="de-DE"/>
                    </w:rPr>
                  </w:pPr>
                </w:p>
              </w:tc>
              <w:tc>
                <w:tcPr>
                  <w:tcW w:w="1701" w:type="dxa"/>
                  <w:shd w:val="clear" w:color="auto" w:fill="FFFFFF" w:themeFill="background1" w:themeFillTint="66"/>
                  <w:noWrap/>
                  <w:vAlign w:val="bottom"/>
                  <w:hideMark/>
                </w:tcPr>
                <w:p w:rsidR="00C96EAA" w:rsidRPr="002E23B1" w:rsidRDefault="00C96EAA" w:rsidP="00C96EAA">
                  <w:pPr>
                    <w:jc w:val="left"/>
                    <w:rPr>
                      <w:rFonts w:ascii="Calibri" w:hAnsi="Calibri"/>
                      <w:sz w:val="20"/>
                      <w:szCs w:val="20"/>
                      <w:lang w:eastAsia="de-DE"/>
                    </w:rPr>
                  </w:pPr>
                </w:p>
              </w:tc>
              <w:tc>
                <w:tcPr>
                  <w:tcW w:w="1701" w:type="dxa"/>
                  <w:shd w:val="clear" w:color="auto" w:fill="FFFFFF" w:themeFill="background1" w:themeFillTint="66"/>
                </w:tcPr>
                <w:p w:rsidR="00C96EAA" w:rsidRPr="0022572B" w:rsidRDefault="00C96EAA" w:rsidP="00C96EAA">
                  <w:pPr>
                    <w:jc w:val="left"/>
                    <w:rPr>
                      <w:rFonts w:ascii="Calibri" w:hAnsi="Calibri"/>
                      <w:sz w:val="20"/>
                      <w:szCs w:val="20"/>
                      <w:lang w:eastAsia="de-DE"/>
                    </w:rPr>
                  </w:pPr>
                </w:p>
              </w:tc>
            </w:tr>
            <w:tr w:rsidR="00EB51FA" w:rsidRPr="002E23B1" w:rsidTr="0022572B">
              <w:trPr>
                <w:trHeight w:val="426"/>
              </w:trPr>
              <w:tc>
                <w:tcPr>
                  <w:tcW w:w="3686" w:type="dxa"/>
                  <w:shd w:val="clear" w:color="auto" w:fill="FFFFFF" w:themeFill="background1" w:themeFillTint="66"/>
                  <w:noWrap/>
                  <w:vAlign w:val="bottom"/>
                  <w:hideMark/>
                </w:tcPr>
                <w:p w:rsidR="00EB51FA" w:rsidRPr="000F0EA7" w:rsidRDefault="00EB51FA" w:rsidP="00EB51FA">
                  <w:pPr>
                    <w:jc w:val="left"/>
                    <w:rPr>
                      <w:rFonts w:eastAsia="Times New Roman" w:cs="Arial"/>
                      <w:color w:val="000000"/>
                      <w:szCs w:val="19"/>
                      <w:lang w:val="pt-BR" w:eastAsia="de-DE"/>
                    </w:rPr>
                  </w:pPr>
                  <w:r w:rsidRPr="000F0EA7">
                    <w:rPr>
                      <w:rFonts w:eastAsia="Times New Roman" w:cs="Arial"/>
                      <w:color w:val="000000"/>
                      <w:szCs w:val="19"/>
                      <w:lang w:val="pt-BR" w:eastAsia="de-DE"/>
                    </w:rPr>
                    <w:t xml:space="preserve">Central </w:t>
                  </w:r>
                  <w:r w:rsidRPr="002957A7">
                    <w:rPr>
                      <w:rFonts w:eastAsia="Times New Roman" w:cs="Arial"/>
                      <w:color w:val="000000"/>
                      <w:szCs w:val="19"/>
                      <w:lang w:val="pt-BR" w:eastAsia="de-DE"/>
                    </w:rPr>
                    <w:t>Europe</w:t>
                  </w:r>
                  <w:r w:rsidRPr="000F0EA7">
                    <w:rPr>
                      <w:rFonts w:eastAsia="Times New Roman" w:cs="Arial"/>
                      <w:color w:val="000000"/>
                      <w:szCs w:val="19"/>
                      <w:lang w:val="pt-BR" w:eastAsia="de-DE"/>
                    </w:rPr>
                    <w:t xml:space="preserve"> (D, A, CH, SLO)</w:t>
                  </w:r>
                </w:p>
              </w:tc>
              <w:tc>
                <w:tcPr>
                  <w:tcW w:w="1984" w:type="dxa"/>
                  <w:shd w:val="clear" w:color="auto" w:fill="FFFFFF" w:themeFill="background1" w:themeFillTint="66"/>
                  <w:noWrap/>
                  <w:vAlign w:val="bottom"/>
                </w:tcPr>
                <w:p w:rsidR="00EB51FA" w:rsidRPr="002E23B1" w:rsidRDefault="00EB51FA" w:rsidP="00EB51FA">
                  <w:pPr>
                    <w:jc w:val="right"/>
                    <w:rPr>
                      <w:rFonts w:eastAsia="Times New Roman" w:cs="Arial"/>
                      <w:szCs w:val="19"/>
                      <w:lang w:eastAsia="de-DE"/>
                    </w:rPr>
                  </w:pPr>
                  <w:r>
                    <w:rPr>
                      <w:rFonts w:eastAsia="Times New Roman" w:cs="Arial"/>
                      <w:szCs w:val="19"/>
                      <w:lang w:eastAsia="de-DE"/>
                    </w:rPr>
                    <w:t>426.575</w:t>
                  </w:r>
                </w:p>
              </w:tc>
              <w:tc>
                <w:tcPr>
                  <w:tcW w:w="1701" w:type="dxa"/>
                  <w:shd w:val="clear" w:color="auto" w:fill="FFFFFF" w:themeFill="background1" w:themeFillTint="66"/>
                  <w:noWrap/>
                  <w:vAlign w:val="bottom"/>
                  <w:hideMark/>
                </w:tcPr>
                <w:p w:rsidR="00EB51FA" w:rsidRPr="002E23B1" w:rsidRDefault="00EB51FA" w:rsidP="00EB51FA">
                  <w:pPr>
                    <w:jc w:val="right"/>
                    <w:rPr>
                      <w:rFonts w:eastAsia="Times New Roman" w:cs="Arial"/>
                      <w:szCs w:val="19"/>
                      <w:lang w:eastAsia="de-DE"/>
                    </w:rPr>
                  </w:pPr>
                  <w:r>
                    <w:rPr>
                      <w:rFonts w:eastAsia="Times New Roman" w:cs="Arial"/>
                      <w:szCs w:val="19"/>
                      <w:lang w:eastAsia="de-DE"/>
                    </w:rPr>
                    <w:t>379.789</w:t>
                  </w:r>
                </w:p>
              </w:tc>
              <w:tc>
                <w:tcPr>
                  <w:tcW w:w="1701" w:type="dxa"/>
                  <w:shd w:val="clear" w:color="auto" w:fill="FFFFFF" w:themeFill="background1" w:themeFillTint="66"/>
                  <w:vAlign w:val="bottom"/>
                </w:tcPr>
                <w:p w:rsidR="00EB51FA" w:rsidRPr="0022572B" w:rsidRDefault="00EB51FA" w:rsidP="00EB51FA">
                  <w:pPr>
                    <w:jc w:val="right"/>
                    <w:rPr>
                      <w:rFonts w:eastAsia="Times New Roman" w:cs="Arial"/>
                      <w:szCs w:val="19"/>
                      <w:lang w:eastAsia="de-DE"/>
                    </w:rPr>
                  </w:pPr>
                  <w:r w:rsidRPr="0022572B">
                    <w:rPr>
                      <w:rFonts w:eastAsia="Times New Roman" w:cs="Arial"/>
                      <w:szCs w:val="19"/>
                      <w:lang w:eastAsia="de-DE"/>
                    </w:rPr>
                    <w:t>540.573</w:t>
                  </w:r>
                </w:p>
              </w:tc>
            </w:tr>
            <w:tr w:rsidR="00C96EAA" w:rsidRPr="002E23B1" w:rsidTr="0022572B">
              <w:trPr>
                <w:trHeight w:val="426"/>
              </w:trPr>
              <w:tc>
                <w:tcPr>
                  <w:tcW w:w="3686" w:type="dxa"/>
                  <w:shd w:val="clear" w:color="auto" w:fill="FFFFFF" w:themeFill="background1" w:themeFillTint="66"/>
                  <w:noWrap/>
                  <w:vAlign w:val="bottom"/>
                  <w:hideMark/>
                </w:tcPr>
                <w:p w:rsidR="00C96EAA" w:rsidRPr="003F0C3B" w:rsidRDefault="00C96EAA" w:rsidP="00C96EAA">
                  <w:pPr>
                    <w:jc w:val="left"/>
                    <w:rPr>
                      <w:rFonts w:eastAsia="Times New Roman" w:cs="Arial"/>
                      <w:color w:val="000000"/>
                      <w:szCs w:val="19"/>
                      <w:lang w:eastAsia="de-DE"/>
                    </w:rPr>
                  </w:pPr>
                  <w:r w:rsidRPr="003F0C3B">
                    <w:rPr>
                      <w:rFonts w:eastAsia="Times New Roman" w:cs="Arial"/>
                      <w:color w:val="000000"/>
                      <w:szCs w:val="19"/>
                      <w:lang w:eastAsia="de-DE"/>
                    </w:rPr>
                    <w:t xml:space="preserve">Western Europe </w:t>
                  </w:r>
                </w:p>
              </w:tc>
              <w:tc>
                <w:tcPr>
                  <w:tcW w:w="1984" w:type="dxa"/>
                  <w:shd w:val="clear" w:color="auto" w:fill="FFFFFF" w:themeFill="background1" w:themeFillTint="66"/>
                  <w:noWrap/>
                  <w:vAlign w:val="bottom"/>
                </w:tcPr>
                <w:p w:rsidR="00C96EAA" w:rsidRPr="002E23B1" w:rsidRDefault="00EB51FA" w:rsidP="00EB51FA">
                  <w:pPr>
                    <w:jc w:val="right"/>
                    <w:rPr>
                      <w:rFonts w:eastAsia="Times New Roman" w:cs="Arial"/>
                      <w:szCs w:val="19"/>
                      <w:lang w:eastAsia="de-DE"/>
                    </w:rPr>
                  </w:pPr>
                  <w:r>
                    <w:rPr>
                      <w:rFonts w:eastAsia="Times New Roman" w:cs="Arial"/>
                      <w:szCs w:val="19"/>
                      <w:lang w:eastAsia="de-DE"/>
                    </w:rPr>
                    <w:t>130</w:t>
                  </w:r>
                  <w:r w:rsidR="00DD7493">
                    <w:rPr>
                      <w:rFonts w:eastAsia="Times New Roman" w:cs="Arial"/>
                      <w:szCs w:val="19"/>
                      <w:lang w:eastAsia="de-DE"/>
                    </w:rPr>
                    <w:t>.</w:t>
                  </w:r>
                  <w:r>
                    <w:rPr>
                      <w:rFonts w:eastAsia="Times New Roman" w:cs="Arial"/>
                      <w:szCs w:val="19"/>
                      <w:lang w:eastAsia="de-DE"/>
                    </w:rPr>
                    <w:t>060</w:t>
                  </w:r>
                </w:p>
              </w:tc>
              <w:tc>
                <w:tcPr>
                  <w:tcW w:w="1701" w:type="dxa"/>
                  <w:shd w:val="clear" w:color="auto" w:fill="FFFFFF" w:themeFill="background1" w:themeFillTint="66"/>
                  <w:noWrap/>
                  <w:vAlign w:val="bottom"/>
                  <w:hideMark/>
                </w:tcPr>
                <w:p w:rsidR="00C96EAA" w:rsidRPr="002E23B1" w:rsidRDefault="00EB51FA" w:rsidP="00EB51FA">
                  <w:pPr>
                    <w:jc w:val="right"/>
                    <w:rPr>
                      <w:rFonts w:eastAsia="Times New Roman" w:cs="Arial"/>
                      <w:szCs w:val="19"/>
                      <w:lang w:eastAsia="de-DE"/>
                    </w:rPr>
                  </w:pPr>
                  <w:r>
                    <w:rPr>
                      <w:rFonts w:eastAsia="Times New Roman" w:cs="Arial"/>
                      <w:szCs w:val="19"/>
                      <w:lang w:eastAsia="de-DE"/>
                    </w:rPr>
                    <w:t>120</w:t>
                  </w:r>
                  <w:r w:rsidR="00DD7493">
                    <w:rPr>
                      <w:rFonts w:eastAsia="Times New Roman" w:cs="Arial"/>
                      <w:szCs w:val="19"/>
                      <w:lang w:eastAsia="de-DE"/>
                    </w:rPr>
                    <w:t>.</w:t>
                  </w:r>
                  <w:r>
                    <w:rPr>
                      <w:rFonts w:eastAsia="Times New Roman" w:cs="Arial"/>
                      <w:szCs w:val="19"/>
                      <w:lang w:eastAsia="de-DE"/>
                    </w:rPr>
                    <w:t>528</w:t>
                  </w:r>
                </w:p>
              </w:tc>
              <w:tc>
                <w:tcPr>
                  <w:tcW w:w="1701" w:type="dxa"/>
                  <w:shd w:val="clear" w:color="auto" w:fill="FFFFFF" w:themeFill="background1" w:themeFillTint="66"/>
                  <w:vAlign w:val="bottom"/>
                </w:tcPr>
                <w:p w:rsidR="00C96EAA" w:rsidRPr="0022572B" w:rsidRDefault="00C96EAA" w:rsidP="00C96EAA">
                  <w:pPr>
                    <w:jc w:val="right"/>
                    <w:rPr>
                      <w:rFonts w:eastAsia="Times New Roman" w:cs="Arial"/>
                      <w:szCs w:val="19"/>
                      <w:lang w:eastAsia="de-DE"/>
                    </w:rPr>
                  </w:pPr>
                  <w:r w:rsidRPr="0022572B">
                    <w:rPr>
                      <w:rFonts w:eastAsia="Times New Roman" w:cs="Arial"/>
                      <w:szCs w:val="19"/>
                      <w:lang w:eastAsia="de-DE"/>
                    </w:rPr>
                    <w:t>185.967</w:t>
                  </w:r>
                </w:p>
              </w:tc>
            </w:tr>
            <w:tr w:rsidR="00821F61" w:rsidRPr="002E23B1" w:rsidTr="0022572B">
              <w:trPr>
                <w:trHeight w:val="426"/>
              </w:trPr>
              <w:tc>
                <w:tcPr>
                  <w:tcW w:w="3686" w:type="dxa"/>
                  <w:shd w:val="clear" w:color="auto" w:fill="FFFFFF" w:themeFill="background1" w:themeFillTint="66"/>
                  <w:noWrap/>
                  <w:vAlign w:val="bottom"/>
                </w:tcPr>
                <w:p w:rsidR="00821F61" w:rsidRPr="003F0C3B" w:rsidRDefault="00821F61" w:rsidP="00821F61">
                  <w:pPr>
                    <w:jc w:val="left"/>
                    <w:rPr>
                      <w:rFonts w:eastAsia="Times New Roman" w:cs="Arial"/>
                      <w:color w:val="000000"/>
                      <w:szCs w:val="19"/>
                      <w:lang w:eastAsia="de-DE"/>
                    </w:rPr>
                  </w:pPr>
                  <w:r w:rsidRPr="003F0C3B">
                    <w:rPr>
                      <w:rFonts w:eastAsia="Times New Roman" w:cs="Arial"/>
                      <w:color w:val="000000"/>
                      <w:szCs w:val="19"/>
                      <w:lang w:eastAsia="de-DE"/>
                    </w:rPr>
                    <w:t>Americas</w:t>
                  </w:r>
                </w:p>
              </w:tc>
              <w:tc>
                <w:tcPr>
                  <w:tcW w:w="1984" w:type="dxa"/>
                  <w:shd w:val="clear" w:color="auto" w:fill="FFFFFF" w:themeFill="background1" w:themeFillTint="66"/>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115.181</w:t>
                  </w:r>
                </w:p>
              </w:tc>
              <w:tc>
                <w:tcPr>
                  <w:tcW w:w="1701" w:type="dxa"/>
                  <w:shd w:val="clear" w:color="auto" w:fill="FFFFFF" w:themeFill="background1" w:themeFillTint="66"/>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92.281</w:t>
                  </w:r>
                </w:p>
              </w:tc>
              <w:tc>
                <w:tcPr>
                  <w:tcW w:w="1701" w:type="dxa"/>
                  <w:shd w:val="clear" w:color="auto" w:fill="FFFFFF" w:themeFill="background1" w:themeFillTint="66"/>
                  <w:vAlign w:val="bottom"/>
                </w:tcPr>
                <w:p w:rsidR="00821F61" w:rsidRPr="0022572B" w:rsidRDefault="00821F61" w:rsidP="00821F61">
                  <w:pPr>
                    <w:jc w:val="right"/>
                    <w:rPr>
                      <w:rFonts w:eastAsia="Times New Roman" w:cs="Arial"/>
                      <w:szCs w:val="19"/>
                      <w:lang w:eastAsia="de-DE"/>
                    </w:rPr>
                  </w:pPr>
                  <w:r w:rsidRPr="0022572B">
                    <w:rPr>
                      <w:rFonts w:eastAsia="Times New Roman" w:cs="Arial"/>
                      <w:szCs w:val="19"/>
                      <w:lang w:eastAsia="de-DE"/>
                    </w:rPr>
                    <w:t>142.515</w:t>
                  </w:r>
                </w:p>
              </w:tc>
            </w:tr>
            <w:tr w:rsidR="00821F61" w:rsidRPr="002E23B1" w:rsidTr="0022572B">
              <w:trPr>
                <w:trHeight w:val="426"/>
              </w:trPr>
              <w:tc>
                <w:tcPr>
                  <w:tcW w:w="3686" w:type="dxa"/>
                  <w:shd w:val="clear" w:color="auto" w:fill="FFFFFF" w:themeFill="background1" w:themeFillTint="66"/>
                  <w:noWrap/>
                  <w:vAlign w:val="bottom"/>
                  <w:hideMark/>
                </w:tcPr>
                <w:p w:rsidR="00821F61" w:rsidRPr="003F0C3B" w:rsidRDefault="00821F61" w:rsidP="00821F61">
                  <w:pPr>
                    <w:jc w:val="left"/>
                    <w:rPr>
                      <w:rFonts w:eastAsia="Times New Roman" w:cs="Arial"/>
                      <w:color w:val="000000"/>
                      <w:szCs w:val="19"/>
                      <w:lang w:eastAsia="de-DE"/>
                    </w:rPr>
                  </w:pPr>
                  <w:r w:rsidRPr="003F0C3B">
                    <w:rPr>
                      <w:rFonts w:eastAsia="Times New Roman" w:cs="Arial"/>
                      <w:color w:val="000000"/>
                      <w:szCs w:val="19"/>
                      <w:lang w:eastAsia="de-DE"/>
                    </w:rPr>
                    <w:t>Southern Europe</w:t>
                  </w:r>
                </w:p>
              </w:tc>
              <w:tc>
                <w:tcPr>
                  <w:tcW w:w="1984" w:type="dxa"/>
                  <w:shd w:val="clear" w:color="auto" w:fill="FFFFFF" w:themeFill="background1" w:themeFillTint="66"/>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106.707</w:t>
                  </w:r>
                </w:p>
              </w:tc>
              <w:tc>
                <w:tcPr>
                  <w:tcW w:w="1701" w:type="dxa"/>
                  <w:shd w:val="clear" w:color="auto" w:fill="FFFFFF" w:themeFill="background1" w:themeFillTint="66"/>
                  <w:noWrap/>
                  <w:vAlign w:val="bottom"/>
                  <w:hideMark/>
                </w:tcPr>
                <w:p w:rsidR="00821F61" w:rsidRPr="002E23B1" w:rsidRDefault="00821F61" w:rsidP="00821F61">
                  <w:pPr>
                    <w:jc w:val="right"/>
                    <w:rPr>
                      <w:rFonts w:eastAsia="Times New Roman" w:cs="Arial"/>
                      <w:szCs w:val="19"/>
                      <w:lang w:eastAsia="de-DE"/>
                    </w:rPr>
                  </w:pPr>
                  <w:r>
                    <w:rPr>
                      <w:rFonts w:eastAsia="Times New Roman" w:cs="Arial"/>
                      <w:szCs w:val="19"/>
                      <w:lang w:eastAsia="de-DE"/>
                    </w:rPr>
                    <w:t>81.054</w:t>
                  </w:r>
                </w:p>
              </w:tc>
              <w:tc>
                <w:tcPr>
                  <w:tcW w:w="1701" w:type="dxa"/>
                  <w:shd w:val="clear" w:color="auto" w:fill="FFFFFF" w:themeFill="background1" w:themeFillTint="66"/>
                  <w:vAlign w:val="bottom"/>
                </w:tcPr>
                <w:p w:rsidR="00821F61" w:rsidRPr="0022572B" w:rsidRDefault="00821F61" w:rsidP="00821F61">
                  <w:pPr>
                    <w:jc w:val="right"/>
                    <w:rPr>
                      <w:rFonts w:eastAsia="Times New Roman" w:cs="Arial"/>
                      <w:szCs w:val="19"/>
                      <w:lang w:eastAsia="de-DE"/>
                    </w:rPr>
                  </w:pPr>
                  <w:r w:rsidRPr="0022572B">
                    <w:rPr>
                      <w:rFonts w:eastAsia="Times New Roman" w:cs="Arial"/>
                      <w:szCs w:val="19"/>
                      <w:lang w:eastAsia="de-DE"/>
                    </w:rPr>
                    <w:t>127.219</w:t>
                  </w:r>
                </w:p>
              </w:tc>
            </w:tr>
            <w:tr w:rsidR="00821F61" w:rsidRPr="002E23B1" w:rsidTr="0022572B">
              <w:trPr>
                <w:trHeight w:val="426"/>
              </w:trPr>
              <w:tc>
                <w:tcPr>
                  <w:tcW w:w="3686" w:type="dxa"/>
                  <w:shd w:val="clear" w:color="auto" w:fill="FFFFFF" w:themeFill="background1" w:themeFillTint="66"/>
                  <w:noWrap/>
                  <w:vAlign w:val="bottom"/>
                  <w:hideMark/>
                </w:tcPr>
                <w:p w:rsidR="00821F61" w:rsidRPr="003F0C3B" w:rsidRDefault="00821F61" w:rsidP="00821F61">
                  <w:pPr>
                    <w:jc w:val="left"/>
                    <w:rPr>
                      <w:rFonts w:eastAsia="Times New Roman" w:cs="Arial"/>
                      <w:color w:val="000000"/>
                      <w:szCs w:val="19"/>
                      <w:lang w:eastAsia="de-DE"/>
                    </w:rPr>
                  </w:pPr>
                  <w:r>
                    <w:rPr>
                      <w:rFonts w:eastAsia="Times New Roman" w:cs="Arial"/>
                      <w:color w:val="000000"/>
                      <w:szCs w:val="19"/>
                      <w:lang w:eastAsia="de-DE"/>
                    </w:rPr>
                    <w:t>Northe</w:t>
                  </w:r>
                  <w:r w:rsidRPr="003F0C3B">
                    <w:rPr>
                      <w:rFonts w:eastAsia="Times New Roman" w:cs="Arial"/>
                      <w:color w:val="000000"/>
                      <w:szCs w:val="19"/>
                      <w:lang w:eastAsia="de-DE"/>
                    </w:rPr>
                    <w:t>astern Europe</w:t>
                  </w:r>
                </w:p>
              </w:tc>
              <w:tc>
                <w:tcPr>
                  <w:tcW w:w="1984" w:type="dxa"/>
                  <w:shd w:val="clear" w:color="auto" w:fill="FFFFFF" w:themeFill="background1" w:themeFillTint="66"/>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36.431</w:t>
                  </w:r>
                </w:p>
              </w:tc>
              <w:tc>
                <w:tcPr>
                  <w:tcW w:w="1701" w:type="dxa"/>
                  <w:shd w:val="clear" w:color="auto" w:fill="FFFFFF" w:themeFill="background1" w:themeFillTint="66"/>
                  <w:noWrap/>
                  <w:vAlign w:val="bottom"/>
                  <w:hideMark/>
                </w:tcPr>
                <w:p w:rsidR="00821F61" w:rsidRPr="002E23B1" w:rsidRDefault="00821F61" w:rsidP="00821F61">
                  <w:pPr>
                    <w:jc w:val="right"/>
                    <w:rPr>
                      <w:rFonts w:eastAsia="Times New Roman" w:cs="Arial"/>
                      <w:szCs w:val="19"/>
                      <w:lang w:eastAsia="de-DE"/>
                    </w:rPr>
                  </w:pPr>
                  <w:r>
                    <w:rPr>
                      <w:rFonts w:eastAsia="Times New Roman" w:cs="Arial"/>
                      <w:szCs w:val="19"/>
                      <w:lang w:eastAsia="de-DE"/>
                    </w:rPr>
                    <w:t>44.762</w:t>
                  </w:r>
                </w:p>
              </w:tc>
              <w:tc>
                <w:tcPr>
                  <w:tcW w:w="1701" w:type="dxa"/>
                  <w:shd w:val="clear" w:color="auto" w:fill="FFFFFF" w:themeFill="background1" w:themeFillTint="66"/>
                  <w:vAlign w:val="bottom"/>
                </w:tcPr>
                <w:p w:rsidR="00821F61" w:rsidRPr="00D45803" w:rsidRDefault="00D45803" w:rsidP="00D45803">
                  <w:pPr>
                    <w:jc w:val="right"/>
                    <w:rPr>
                      <w:rFonts w:eastAsia="Times New Roman" w:cs="Arial"/>
                      <w:szCs w:val="19"/>
                      <w:lang w:eastAsia="de-DE"/>
                    </w:rPr>
                  </w:pPr>
                  <w:r w:rsidRPr="00D45803">
                    <w:rPr>
                      <w:rFonts w:eastAsia="Times New Roman" w:cs="Arial"/>
                      <w:szCs w:val="19"/>
                      <w:lang w:eastAsia="de-DE"/>
                    </w:rPr>
                    <w:t>60</w:t>
                  </w:r>
                  <w:r w:rsidR="00821F61" w:rsidRPr="00D45803">
                    <w:rPr>
                      <w:rFonts w:eastAsia="Times New Roman" w:cs="Arial"/>
                      <w:szCs w:val="19"/>
                      <w:lang w:eastAsia="de-DE"/>
                    </w:rPr>
                    <w:t>.</w:t>
                  </w:r>
                  <w:r w:rsidRPr="00D45803">
                    <w:rPr>
                      <w:rFonts w:eastAsia="Times New Roman" w:cs="Arial"/>
                      <w:szCs w:val="19"/>
                      <w:lang w:eastAsia="de-DE"/>
                    </w:rPr>
                    <w:t>237</w:t>
                  </w:r>
                </w:p>
              </w:tc>
            </w:tr>
            <w:tr w:rsidR="00821F61" w:rsidRPr="002E23B1" w:rsidTr="0022572B">
              <w:trPr>
                <w:trHeight w:val="227"/>
              </w:trPr>
              <w:tc>
                <w:tcPr>
                  <w:tcW w:w="3686" w:type="dxa"/>
                  <w:noWrap/>
                  <w:vAlign w:val="bottom"/>
                </w:tcPr>
                <w:p w:rsidR="00821F61" w:rsidRPr="003F0C3B" w:rsidRDefault="00821F61" w:rsidP="00821F61">
                  <w:pPr>
                    <w:jc w:val="left"/>
                    <w:rPr>
                      <w:rFonts w:eastAsia="Times New Roman" w:cs="Arial"/>
                      <w:color w:val="000000"/>
                      <w:szCs w:val="19"/>
                      <w:lang w:eastAsia="de-DE"/>
                    </w:rPr>
                  </w:pPr>
                </w:p>
              </w:tc>
              <w:tc>
                <w:tcPr>
                  <w:tcW w:w="1984" w:type="dxa"/>
                  <w:noWrap/>
                  <w:vAlign w:val="bottom"/>
                </w:tcPr>
                <w:p w:rsidR="00821F61" w:rsidRDefault="00821F61" w:rsidP="00821F61">
                  <w:pPr>
                    <w:jc w:val="right"/>
                    <w:rPr>
                      <w:rFonts w:eastAsia="Times New Roman" w:cs="Arial"/>
                      <w:szCs w:val="19"/>
                      <w:lang w:eastAsia="de-DE"/>
                    </w:rPr>
                  </w:pPr>
                </w:p>
              </w:tc>
              <w:tc>
                <w:tcPr>
                  <w:tcW w:w="1701" w:type="dxa"/>
                  <w:noWrap/>
                  <w:vAlign w:val="bottom"/>
                </w:tcPr>
                <w:p w:rsidR="00821F61" w:rsidRDefault="00821F61" w:rsidP="00821F61">
                  <w:pPr>
                    <w:jc w:val="right"/>
                    <w:rPr>
                      <w:rFonts w:eastAsia="Times New Roman" w:cs="Arial"/>
                      <w:szCs w:val="19"/>
                      <w:lang w:eastAsia="de-DE"/>
                    </w:rPr>
                  </w:pPr>
                </w:p>
              </w:tc>
              <w:tc>
                <w:tcPr>
                  <w:tcW w:w="1701" w:type="dxa"/>
                  <w:vAlign w:val="bottom"/>
                </w:tcPr>
                <w:p w:rsidR="00821F61" w:rsidRPr="00D45803" w:rsidRDefault="00821F61" w:rsidP="00821F61">
                  <w:pPr>
                    <w:jc w:val="right"/>
                    <w:rPr>
                      <w:rFonts w:eastAsia="Times New Roman" w:cs="Arial"/>
                      <w:szCs w:val="19"/>
                      <w:lang w:eastAsia="de-DE"/>
                    </w:rPr>
                  </w:pPr>
                </w:p>
              </w:tc>
            </w:tr>
            <w:tr w:rsidR="00821F61" w:rsidRPr="002E23B1" w:rsidTr="0022572B">
              <w:trPr>
                <w:trHeight w:val="426"/>
              </w:trPr>
              <w:tc>
                <w:tcPr>
                  <w:tcW w:w="3686" w:type="dxa"/>
                  <w:noWrap/>
                  <w:vAlign w:val="bottom"/>
                  <w:hideMark/>
                </w:tcPr>
                <w:p w:rsidR="00821F61" w:rsidRPr="00721ADA" w:rsidRDefault="00821F61" w:rsidP="00821F61">
                  <w:pPr>
                    <w:jc w:val="left"/>
                    <w:rPr>
                      <w:rFonts w:eastAsia="Times New Roman" w:cs="Arial"/>
                      <w:color w:val="000000" w:themeColor="text2"/>
                      <w:szCs w:val="19"/>
                      <w:lang w:eastAsia="de-DE"/>
                    </w:rPr>
                  </w:pPr>
                  <w:r w:rsidRPr="00721ADA">
                    <w:rPr>
                      <w:rFonts w:eastAsia="Times New Roman" w:cs="Arial"/>
                      <w:color w:val="000000" w:themeColor="text2"/>
                      <w:szCs w:val="19"/>
                      <w:lang w:eastAsia="de-DE"/>
                    </w:rPr>
                    <w:t>davon Deutschland</w:t>
                  </w:r>
                </w:p>
              </w:tc>
              <w:tc>
                <w:tcPr>
                  <w:tcW w:w="1984" w:type="dxa"/>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402.300</w:t>
                  </w:r>
                </w:p>
              </w:tc>
              <w:tc>
                <w:tcPr>
                  <w:tcW w:w="1701" w:type="dxa"/>
                  <w:noWrap/>
                  <w:vAlign w:val="bottom"/>
                  <w:hideMark/>
                </w:tcPr>
                <w:p w:rsidR="00821F61" w:rsidRPr="002E23B1" w:rsidRDefault="00821F61" w:rsidP="00821F61">
                  <w:pPr>
                    <w:jc w:val="right"/>
                    <w:rPr>
                      <w:rFonts w:eastAsia="Times New Roman" w:cs="Arial"/>
                      <w:szCs w:val="19"/>
                      <w:lang w:eastAsia="de-DE"/>
                    </w:rPr>
                  </w:pPr>
                  <w:r>
                    <w:rPr>
                      <w:rFonts w:eastAsia="Times New Roman" w:cs="Arial"/>
                      <w:szCs w:val="19"/>
                      <w:lang w:eastAsia="de-DE"/>
                    </w:rPr>
                    <w:t>353.074</w:t>
                  </w:r>
                </w:p>
              </w:tc>
              <w:tc>
                <w:tcPr>
                  <w:tcW w:w="1701" w:type="dxa"/>
                  <w:vAlign w:val="bottom"/>
                </w:tcPr>
                <w:p w:rsidR="00821F61" w:rsidRPr="00D45803" w:rsidRDefault="00821F61" w:rsidP="00821F61">
                  <w:pPr>
                    <w:jc w:val="right"/>
                    <w:rPr>
                      <w:rFonts w:eastAsia="Times New Roman" w:cs="Arial"/>
                      <w:szCs w:val="19"/>
                      <w:lang w:eastAsia="de-DE"/>
                    </w:rPr>
                  </w:pPr>
                  <w:r w:rsidRPr="00D45803">
                    <w:rPr>
                      <w:rFonts w:eastAsia="Times New Roman" w:cs="Arial"/>
                      <w:szCs w:val="19"/>
                      <w:lang w:eastAsia="de-DE"/>
                    </w:rPr>
                    <w:t>499.770</w:t>
                  </w:r>
                </w:p>
              </w:tc>
            </w:tr>
            <w:tr w:rsidR="00821F61" w:rsidRPr="002E23B1" w:rsidTr="0022572B">
              <w:trPr>
                <w:trHeight w:val="426"/>
              </w:trPr>
              <w:tc>
                <w:tcPr>
                  <w:tcW w:w="3686" w:type="dxa"/>
                  <w:noWrap/>
                  <w:vAlign w:val="bottom"/>
                  <w:hideMark/>
                </w:tcPr>
                <w:p w:rsidR="00821F61" w:rsidRPr="00721ADA" w:rsidRDefault="00821F61" w:rsidP="00821F61">
                  <w:pPr>
                    <w:jc w:val="left"/>
                    <w:rPr>
                      <w:rFonts w:eastAsia="Times New Roman" w:cs="Arial"/>
                      <w:color w:val="000000" w:themeColor="text2"/>
                      <w:szCs w:val="19"/>
                      <w:lang w:eastAsia="de-DE"/>
                    </w:rPr>
                  </w:pPr>
                  <w:r w:rsidRPr="00721ADA">
                    <w:rPr>
                      <w:rFonts w:eastAsia="Times New Roman" w:cs="Arial"/>
                      <w:color w:val="000000" w:themeColor="text2"/>
                      <w:szCs w:val="19"/>
                      <w:lang w:eastAsia="de-DE"/>
                    </w:rPr>
                    <w:t>davon International</w:t>
                  </w:r>
                </w:p>
              </w:tc>
              <w:tc>
                <w:tcPr>
                  <w:tcW w:w="1984" w:type="dxa"/>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412.654</w:t>
                  </w:r>
                </w:p>
              </w:tc>
              <w:tc>
                <w:tcPr>
                  <w:tcW w:w="1701" w:type="dxa"/>
                  <w:noWrap/>
                  <w:vAlign w:val="bottom"/>
                  <w:hideMark/>
                </w:tcPr>
                <w:p w:rsidR="00821F61" w:rsidRPr="002E23B1" w:rsidRDefault="00821F61" w:rsidP="00821F61">
                  <w:pPr>
                    <w:jc w:val="right"/>
                    <w:rPr>
                      <w:rFonts w:eastAsia="Times New Roman" w:cs="Arial"/>
                      <w:szCs w:val="19"/>
                      <w:lang w:eastAsia="de-DE"/>
                    </w:rPr>
                  </w:pPr>
                  <w:r>
                    <w:rPr>
                      <w:rFonts w:eastAsia="Times New Roman" w:cs="Arial"/>
                      <w:szCs w:val="19"/>
                      <w:lang w:eastAsia="de-DE"/>
                    </w:rPr>
                    <w:t>365.340</w:t>
                  </w:r>
                </w:p>
              </w:tc>
              <w:tc>
                <w:tcPr>
                  <w:tcW w:w="1701" w:type="dxa"/>
                  <w:vAlign w:val="bottom"/>
                </w:tcPr>
                <w:p w:rsidR="00821F61" w:rsidRPr="00D45803" w:rsidRDefault="00821F61" w:rsidP="00821F61">
                  <w:pPr>
                    <w:jc w:val="right"/>
                    <w:rPr>
                      <w:rFonts w:eastAsia="Times New Roman" w:cs="Arial"/>
                      <w:szCs w:val="19"/>
                      <w:lang w:eastAsia="de-DE"/>
                    </w:rPr>
                  </w:pPr>
                  <w:r w:rsidRPr="00D45803">
                    <w:rPr>
                      <w:rFonts w:eastAsia="Times New Roman" w:cs="Arial"/>
                      <w:szCs w:val="19"/>
                      <w:lang w:eastAsia="de-DE"/>
                    </w:rPr>
                    <w:t>556.741</w:t>
                  </w:r>
                </w:p>
              </w:tc>
            </w:tr>
            <w:tr w:rsidR="00821F61" w:rsidRPr="002E23B1" w:rsidTr="0022572B">
              <w:trPr>
                <w:trHeight w:val="227"/>
              </w:trPr>
              <w:tc>
                <w:tcPr>
                  <w:tcW w:w="3686" w:type="dxa"/>
                  <w:shd w:val="clear" w:color="auto" w:fill="auto"/>
                  <w:noWrap/>
                  <w:vAlign w:val="bottom"/>
                </w:tcPr>
                <w:p w:rsidR="00821F61" w:rsidRPr="003F0C3B" w:rsidRDefault="00821F61" w:rsidP="00821F61">
                  <w:pPr>
                    <w:jc w:val="left"/>
                    <w:rPr>
                      <w:rFonts w:eastAsia="Times New Roman" w:cs="Arial"/>
                      <w:color w:val="000000"/>
                      <w:szCs w:val="19"/>
                      <w:lang w:eastAsia="de-DE"/>
                    </w:rPr>
                  </w:pPr>
                </w:p>
              </w:tc>
              <w:tc>
                <w:tcPr>
                  <w:tcW w:w="1984" w:type="dxa"/>
                  <w:shd w:val="clear" w:color="auto" w:fill="auto"/>
                  <w:noWrap/>
                  <w:vAlign w:val="bottom"/>
                </w:tcPr>
                <w:p w:rsidR="00821F61" w:rsidRDefault="00821F61" w:rsidP="00821F61">
                  <w:pPr>
                    <w:jc w:val="right"/>
                    <w:rPr>
                      <w:rFonts w:eastAsia="Times New Roman" w:cs="Arial"/>
                      <w:szCs w:val="19"/>
                      <w:lang w:eastAsia="de-DE"/>
                    </w:rPr>
                  </w:pPr>
                </w:p>
              </w:tc>
              <w:tc>
                <w:tcPr>
                  <w:tcW w:w="1701" w:type="dxa"/>
                  <w:shd w:val="clear" w:color="auto" w:fill="auto"/>
                  <w:noWrap/>
                  <w:vAlign w:val="bottom"/>
                </w:tcPr>
                <w:p w:rsidR="00821F61" w:rsidRDefault="00821F61" w:rsidP="00821F61">
                  <w:pPr>
                    <w:jc w:val="right"/>
                    <w:rPr>
                      <w:rFonts w:eastAsia="Times New Roman" w:cs="Arial"/>
                      <w:szCs w:val="19"/>
                      <w:lang w:eastAsia="de-DE"/>
                    </w:rPr>
                  </w:pPr>
                </w:p>
              </w:tc>
              <w:tc>
                <w:tcPr>
                  <w:tcW w:w="1701" w:type="dxa"/>
                  <w:shd w:val="clear" w:color="auto" w:fill="auto"/>
                  <w:vAlign w:val="bottom"/>
                </w:tcPr>
                <w:p w:rsidR="00821F61" w:rsidRPr="00D45803" w:rsidRDefault="00821F61" w:rsidP="00821F61">
                  <w:pPr>
                    <w:jc w:val="right"/>
                    <w:rPr>
                      <w:rFonts w:eastAsia="Times New Roman" w:cs="Arial"/>
                      <w:szCs w:val="19"/>
                      <w:lang w:eastAsia="de-DE"/>
                    </w:rPr>
                  </w:pPr>
                </w:p>
              </w:tc>
            </w:tr>
            <w:tr w:rsidR="00821F61" w:rsidRPr="002E23B1" w:rsidTr="00721ADA">
              <w:trPr>
                <w:trHeight w:val="426"/>
              </w:trPr>
              <w:tc>
                <w:tcPr>
                  <w:tcW w:w="3686" w:type="dxa"/>
                  <w:shd w:val="clear" w:color="auto" w:fill="EEECE5"/>
                  <w:noWrap/>
                  <w:vAlign w:val="bottom"/>
                  <w:hideMark/>
                </w:tcPr>
                <w:p w:rsidR="00821F61" w:rsidRPr="003F0C3B" w:rsidRDefault="00821F61" w:rsidP="00821F61">
                  <w:pPr>
                    <w:jc w:val="left"/>
                    <w:rPr>
                      <w:rFonts w:eastAsia="Times New Roman" w:cs="Arial"/>
                      <w:color w:val="000000"/>
                      <w:szCs w:val="19"/>
                      <w:lang w:eastAsia="de-DE"/>
                    </w:rPr>
                  </w:pPr>
                  <w:r w:rsidRPr="00721ADA">
                    <w:rPr>
                      <w:rFonts w:eastAsia="Times New Roman" w:cs="Arial"/>
                      <w:color w:val="000000" w:themeColor="text2"/>
                      <w:szCs w:val="19"/>
                      <w:lang w:eastAsia="de-DE"/>
                    </w:rPr>
                    <w:t>Neuinvestitionsvolumen mit Neukunden (in %)</w:t>
                  </w:r>
                </w:p>
              </w:tc>
              <w:tc>
                <w:tcPr>
                  <w:tcW w:w="1984" w:type="dxa"/>
                  <w:shd w:val="clear" w:color="auto" w:fill="EEECE5"/>
                  <w:noWrap/>
                  <w:vAlign w:val="bottom"/>
                </w:tcPr>
                <w:p w:rsidR="00821F61" w:rsidRPr="00721ADA" w:rsidRDefault="00821F61" w:rsidP="00821F61">
                  <w:pPr>
                    <w:jc w:val="right"/>
                    <w:rPr>
                      <w:rFonts w:eastAsia="Times New Roman" w:cs="Arial"/>
                      <w:color w:val="000000" w:themeColor="text2"/>
                      <w:szCs w:val="19"/>
                      <w:lang w:eastAsia="de-DE"/>
                    </w:rPr>
                  </w:pPr>
                  <w:r>
                    <w:rPr>
                      <w:rFonts w:eastAsia="Times New Roman" w:cs="Arial"/>
                      <w:color w:val="000000" w:themeColor="text2"/>
                      <w:szCs w:val="19"/>
                      <w:lang w:eastAsia="de-DE"/>
                    </w:rPr>
                    <w:t>26</w:t>
                  </w:r>
                  <w:r w:rsidRPr="00721ADA">
                    <w:rPr>
                      <w:rFonts w:eastAsia="Times New Roman" w:cs="Arial"/>
                      <w:color w:val="000000" w:themeColor="text2"/>
                      <w:szCs w:val="19"/>
                      <w:lang w:eastAsia="de-DE"/>
                    </w:rPr>
                    <w:t>%</w:t>
                  </w:r>
                </w:p>
              </w:tc>
              <w:tc>
                <w:tcPr>
                  <w:tcW w:w="1701" w:type="dxa"/>
                  <w:shd w:val="clear" w:color="auto" w:fill="EEECE5"/>
                  <w:noWrap/>
                  <w:vAlign w:val="bottom"/>
                </w:tcPr>
                <w:p w:rsidR="00821F61" w:rsidRPr="00721ADA" w:rsidRDefault="00821F61" w:rsidP="00821F61">
                  <w:pPr>
                    <w:jc w:val="right"/>
                    <w:rPr>
                      <w:rFonts w:eastAsia="Times New Roman" w:cs="Arial"/>
                      <w:color w:val="000000" w:themeColor="text2"/>
                      <w:szCs w:val="19"/>
                      <w:lang w:eastAsia="de-DE"/>
                    </w:rPr>
                  </w:pPr>
                  <w:r>
                    <w:rPr>
                      <w:rFonts w:eastAsia="Times New Roman" w:cs="Arial"/>
                      <w:color w:val="000000" w:themeColor="text2"/>
                      <w:szCs w:val="19"/>
                      <w:lang w:eastAsia="de-DE"/>
                    </w:rPr>
                    <w:t>27,0%</w:t>
                  </w:r>
                </w:p>
              </w:tc>
              <w:tc>
                <w:tcPr>
                  <w:tcW w:w="1701" w:type="dxa"/>
                  <w:shd w:val="clear" w:color="auto" w:fill="EEECE5"/>
                  <w:vAlign w:val="bottom"/>
                </w:tcPr>
                <w:p w:rsidR="00821F61" w:rsidRPr="00D45803" w:rsidRDefault="00D45803" w:rsidP="00821F61">
                  <w:pPr>
                    <w:jc w:val="right"/>
                    <w:rPr>
                      <w:rFonts w:eastAsia="Times New Roman" w:cs="Arial"/>
                      <w:szCs w:val="19"/>
                      <w:lang w:eastAsia="de-DE"/>
                    </w:rPr>
                  </w:pPr>
                  <w:r w:rsidRPr="00D45803">
                    <w:rPr>
                      <w:rFonts w:eastAsia="Times New Roman" w:cs="Arial"/>
                      <w:szCs w:val="19"/>
                      <w:lang w:eastAsia="de-DE"/>
                    </w:rPr>
                    <w:t>28</w:t>
                  </w:r>
                  <w:r w:rsidR="00821F61" w:rsidRPr="00D45803">
                    <w:rPr>
                      <w:rFonts w:eastAsia="Times New Roman" w:cs="Arial"/>
                      <w:szCs w:val="19"/>
                      <w:lang w:eastAsia="de-DE"/>
                    </w:rPr>
                    <w:t>,0 %</w:t>
                  </w:r>
                </w:p>
              </w:tc>
            </w:tr>
            <w:tr w:rsidR="00821F61" w:rsidRPr="002E23B1" w:rsidTr="0022572B">
              <w:trPr>
                <w:trHeight w:val="227"/>
              </w:trPr>
              <w:tc>
                <w:tcPr>
                  <w:tcW w:w="3686" w:type="dxa"/>
                  <w:noWrap/>
                  <w:vAlign w:val="bottom"/>
                </w:tcPr>
                <w:p w:rsidR="00821F61" w:rsidRPr="003F0C3B" w:rsidRDefault="00821F61" w:rsidP="00821F61">
                  <w:pPr>
                    <w:jc w:val="left"/>
                    <w:rPr>
                      <w:rFonts w:eastAsia="Times New Roman" w:cs="Arial"/>
                      <w:color w:val="000000"/>
                      <w:szCs w:val="19"/>
                      <w:lang w:eastAsia="de-DE"/>
                    </w:rPr>
                  </w:pPr>
                </w:p>
              </w:tc>
              <w:tc>
                <w:tcPr>
                  <w:tcW w:w="1984" w:type="dxa"/>
                  <w:noWrap/>
                  <w:vAlign w:val="bottom"/>
                </w:tcPr>
                <w:p w:rsidR="00821F61" w:rsidRDefault="00821F61" w:rsidP="00821F61">
                  <w:pPr>
                    <w:jc w:val="right"/>
                    <w:rPr>
                      <w:rFonts w:eastAsia="Times New Roman" w:cs="Arial"/>
                      <w:szCs w:val="19"/>
                      <w:lang w:eastAsia="de-DE"/>
                    </w:rPr>
                  </w:pPr>
                </w:p>
              </w:tc>
              <w:tc>
                <w:tcPr>
                  <w:tcW w:w="1701" w:type="dxa"/>
                  <w:noWrap/>
                  <w:vAlign w:val="bottom"/>
                </w:tcPr>
                <w:p w:rsidR="00821F61" w:rsidRDefault="00821F61" w:rsidP="00821F61">
                  <w:pPr>
                    <w:jc w:val="right"/>
                    <w:rPr>
                      <w:rFonts w:eastAsia="Times New Roman" w:cs="Arial"/>
                      <w:szCs w:val="19"/>
                      <w:lang w:eastAsia="de-DE"/>
                    </w:rPr>
                  </w:pPr>
                </w:p>
              </w:tc>
              <w:tc>
                <w:tcPr>
                  <w:tcW w:w="1701" w:type="dxa"/>
                  <w:vAlign w:val="bottom"/>
                </w:tcPr>
                <w:p w:rsidR="00821F61" w:rsidRPr="00D45803" w:rsidRDefault="00821F61" w:rsidP="00821F61">
                  <w:pPr>
                    <w:jc w:val="right"/>
                    <w:rPr>
                      <w:rFonts w:eastAsia="Times New Roman" w:cs="Arial"/>
                      <w:szCs w:val="19"/>
                      <w:lang w:eastAsia="de-DE"/>
                    </w:rPr>
                  </w:pPr>
                </w:p>
              </w:tc>
            </w:tr>
            <w:tr w:rsidR="00821F61" w:rsidRPr="002E23B1" w:rsidTr="0022572B">
              <w:trPr>
                <w:trHeight w:val="426"/>
              </w:trPr>
              <w:tc>
                <w:tcPr>
                  <w:tcW w:w="3686" w:type="dxa"/>
                  <w:noWrap/>
                  <w:vAlign w:val="bottom"/>
                  <w:hideMark/>
                </w:tcPr>
                <w:p w:rsidR="00821F61" w:rsidRPr="003F0C3B" w:rsidRDefault="00821F61" w:rsidP="00D45803">
                  <w:pPr>
                    <w:jc w:val="left"/>
                    <w:rPr>
                      <w:rFonts w:eastAsia="Times New Roman" w:cs="Arial"/>
                      <w:color w:val="000000"/>
                      <w:szCs w:val="19"/>
                      <w:lang w:eastAsia="de-DE"/>
                    </w:rPr>
                  </w:pPr>
                  <w:r w:rsidRPr="003F0C3B">
                    <w:rPr>
                      <w:rFonts w:eastAsia="Times New Roman" w:cs="Arial"/>
                      <w:color w:val="000000"/>
                      <w:szCs w:val="19"/>
                      <w:lang w:eastAsia="de-DE"/>
                    </w:rPr>
                    <w:t>Rohertrag/Deckungsbeitrag Gruppe</w:t>
                  </w:r>
                </w:p>
              </w:tc>
              <w:tc>
                <w:tcPr>
                  <w:tcW w:w="1984" w:type="dxa"/>
                  <w:noWrap/>
                  <w:vAlign w:val="bottom"/>
                </w:tcPr>
                <w:p w:rsidR="00821F61" w:rsidRPr="002E23B1" w:rsidRDefault="00821F61" w:rsidP="00821F61">
                  <w:pPr>
                    <w:jc w:val="right"/>
                    <w:rPr>
                      <w:rFonts w:eastAsia="Times New Roman" w:cs="Arial"/>
                      <w:szCs w:val="19"/>
                      <w:lang w:eastAsia="de-DE"/>
                    </w:rPr>
                  </w:pPr>
                  <w:r>
                    <w:rPr>
                      <w:rFonts w:eastAsia="Times New Roman" w:cs="Arial"/>
                      <w:szCs w:val="19"/>
                      <w:lang w:eastAsia="de-DE"/>
                    </w:rPr>
                    <w:t>115.887</w:t>
                  </w:r>
                </w:p>
              </w:tc>
              <w:tc>
                <w:tcPr>
                  <w:tcW w:w="1701" w:type="dxa"/>
                  <w:noWrap/>
                  <w:vAlign w:val="bottom"/>
                  <w:hideMark/>
                </w:tcPr>
                <w:p w:rsidR="00821F61" w:rsidRPr="002E23B1" w:rsidRDefault="00821F61" w:rsidP="00821F61">
                  <w:pPr>
                    <w:jc w:val="right"/>
                    <w:rPr>
                      <w:rFonts w:eastAsia="Times New Roman" w:cs="Arial"/>
                      <w:szCs w:val="19"/>
                      <w:lang w:eastAsia="de-DE"/>
                    </w:rPr>
                  </w:pPr>
                  <w:r>
                    <w:rPr>
                      <w:rFonts w:eastAsia="Times New Roman" w:cs="Arial"/>
                      <w:szCs w:val="19"/>
                      <w:lang w:eastAsia="de-DE"/>
                    </w:rPr>
                    <w:t>122.299</w:t>
                  </w:r>
                </w:p>
              </w:tc>
              <w:tc>
                <w:tcPr>
                  <w:tcW w:w="1701" w:type="dxa"/>
                  <w:vAlign w:val="bottom"/>
                </w:tcPr>
                <w:p w:rsidR="00821F61" w:rsidRPr="00D45803" w:rsidRDefault="00821F61" w:rsidP="00821F61">
                  <w:pPr>
                    <w:jc w:val="right"/>
                    <w:rPr>
                      <w:rFonts w:eastAsia="Times New Roman" w:cs="Arial"/>
                      <w:szCs w:val="19"/>
                      <w:lang w:eastAsia="de-DE"/>
                    </w:rPr>
                  </w:pPr>
                  <w:r w:rsidRPr="00D45803">
                    <w:rPr>
                      <w:rFonts w:eastAsia="Times New Roman" w:cs="Arial"/>
                      <w:szCs w:val="19"/>
                      <w:lang w:eastAsia="de-DE"/>
                    </w:rPr>
                    <w:t>183.059</w:t>
                  </w:r>
                </w:p>
              </w:tc>
            </w:tr>
          </w:tbl>
          <w:p w:rsidR="006779EB" w:rsidRPr="002E23B1" w:rsidRDefault="006779EB" w:rsidP="006779EB">
            <w:pPr>
              <w:spacing w:line="360" w:lineRule="auto"/>
              <w:jc w:val="left"/>
              <w:rPr>
                <w:b/>
                <w:caps/>
                <w:sz w:val="22"/>
              </w:rPr>
            </w:pPr>
          </w:p>
        </w:tc>
      </w:tr>
      <w:tr w:rsidR="00AA3DD5" w:rsidRPr="00547CF9" w:rsidTr="00E16161">
        <w:trPr>
          <w:trHeight w:val="2001"/>
        </w:trPr>
        <w:tc>
          <w:tcPr>
            <w:tcW w:w="9356" w:type="dxa"/>
            <w:tcMar>
              <w:top w:w="0" w:type="dxa"/>
              <w:left w:w="0" w:type="dxa"/>
              <w:bottom w:w="0" w:type="dxa"/>
              <w:right w:w="284" w:type="dxa"/>
            </w:tcMar>
          </w:tcPr>
          <w:p w:rsidR="00E16161" w:rsidRPr="00071754" w:rsidRDefault="00E16161" w:rsidP="000733A9">
            <w:pPr>
              <w:pStyle w:val="AufzhlungspunkteCHG-MERIDIAN"/>
              <w:numPr>
                <w:ilvl w:val="0"/>
                <w:numId w:val="0"/>
              </w:numPr>
              <w:rPr>
                <w:b/>
                <w:noProof/>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721ADA" w:rsidRDefault="00721ADA" w:rsidP="00200130">
            <w:pPr>
              <w:rPr>
                <w:b/>
                <w:sz w:val="14"/>
                <w:szCs w:val="14"/>
              </w:rPr>
            </w:pPr>
          </w:p>
          <w:p w:rsidR="00DB6801" w:rsidRPr="00071754" w:rsidRDefault="00DB6801" w:rsidP="00DB6801">
            <w:pPr>
              <w:rPr>
                <w:b/>
                <w:sz w:val="14"/>
                <w:szCs w:val="14"/>
              </w:rPr>
            </w:pPr>
            <w:r w:rsidRPr="00071754">
              <w:rPr>
                <w:b/>
                <w:sz w:val="14"/>
                <w:szCs w:val="14"/>
              </w:rPr>
              <w:t>CHG-MERIDIAN: Das Unternehmen</w:t>
            </w:r>
          </w:p>
          <w:p w:rsidR="00DB6801" w:rsidRPr="00071754" w:rsidRDefault="00DB6801" w:rsidP="00DB6801">
            <w:pPr>
              <w:rPr>
                <w:sz w:val="14"/>
                <w:szCs w:val="14"/>
              </w:rPr>
            </w:pPr>
          </w:p>
          <w:p w:rsidR="00DB6801" w:rsidRPr="00071754" w:rsidRDefault="00DB6801" w:rsidP="00DB6801">
            <w:pPr>
              <w:rPr>
                <w:sz w:val="14"/>
                <w:szCs w:val="14"/>
              </w:rPr>
            </w:pPr>
            <w:r w:rsidRPr="00071754">
              <w:rPr>
                <w:sz w:val="14"/>
                <w:szCs w:val="14"/>
              </w:rPr>
              <w:t>CHG-MERIDIAN zählt zu den weltweit führenden hersteller- und bankenunabhängigen Anbietern von Technologie-Management in den Bereichen IT, Industrie und Healthcare. Mit rund 850 Mitarbeitern bietet CHG-MERIDIAN eine ganzheitliche Betreuung der Technologie-Infrastruktur seiner Kunden – vom Consulting über Financial- und Operational-Services bis zu den Remarketing-Services für die genutzten Geräte in zwei eigenen Technologie- und Servicezentren in Deutschland und Norwegen. CHG-MERIDIAN bietet effizientes Technologie-Management für Großunternehmen, den Mittelstand und öffentliche Auftraggeber und betreut weltweit über 11.000 Kunden mit Technologie-Investitionen von mehr als 4,4 Milliarden Euro. Mit mehr als 10.000 Nutzer</w:t>
            </w:r>
            <w:r>
              <w:rPr>
                <w:sz w:val="14"/>
                <w:szCs w:val="14"/>
              </w:rPr>
              <w:t>n</w:t>
            </w:r>
            <w:r w:rsidRPr="00071754">
              <w:rPr>
                <w:sz w:val="14"/>
                <w:szCs w:val="14"/>
              </w:rPr>
              <w:t xml:space="preserve"> sorgt das online-basierte Technologie- und Service-Management-System TESMA</w:t>
            </w:r>
            <w:r w:rsidRPr="002D4CE9">
              <w:rPr>
                <w:sz w:val="14"/>
                <w:szCs w:val="14"/>
                <w:vertAlign w:val="superscript"/>
              </w:rPr>
              <w:t>®</w:t>
            </w:r>
            <w:r w:rsidRPr="00071754">
              <w:rPr>
                <w:sz w:val="14"/>
                <w:szCs w:val="14"/>
              </w:rPr>
              <w:t xml:space="preserve"> für maximale Transparenz im Technologie-Controlling. Das Unternehmen verfügt über eine weltweite Präsenz in 23 Ländern an 36 Standorten; der Hauptsitz ist in Weingarten, Süddeutschland.</w:t>
            </w:r>
          </w:p>
          <w:p w:rsidR="00DB6801" w:rsidRPr="00071754" w:rsidRDefault="00DB6801" w:rsidP="00DB6801">
            <w:pPr>
              <w:rPr>
                <w:sz w:val="14"/>
                <w:szCs w:val="14"/>
              </w:rPr>
            </w:pPr>
          </w:p>
          <w:p w:rsidR="00DB6801" w:rsidRDefault="00DB6801" w:rsidP="00DB6801">
            <w:r w:rsidRPr="00200130">
              <w:rPr>
                <w:sz w:val="14"/>
                <w:szCs w:val="14"/>
                <w:lang w:val="en-US"/>
              </w:rPr>
              <w:t>Efficient Technology Management</w:t>
            </w:r>
            <w:r w:rsidRPr="002D4CE9">
              <w:rPr>
                <w:sz w:val="14"/>
                <w:szCs w:val="14"/>
                <w:vertAlign w:val="superscript"/>
                <w:lang w:val="en-US"/>
              </w:rPr>
              <w:t>®</w:t>
            </w:r>
          </w:p>
          <w:p w:rsidR="00AA3DD5" w:rsidRPr="007C5F89" w:rsidRDefault="00200130" w:rsidP="00200130">
            <w:pPr>
              <w:rPr>
                <w:rFonts w:cs="Arial"/>
                <w:noProof/>
              </w:rPr>
            </w:pPr>
            <w:r w:rsidRPr="00200130">
              <w:rPr>
                <w:b/>
                <w:sz w:val="14"/>
                <w:szCs w:val="14"/>
                <w:lang w:val="en-US"/>
              </w:rPr>
              <w:t xml:space="preserve"> </w:t>
            </w:r>
          </w:p>
        </w:tc>
      </w:tr>
    </w:tbl>
    <w:p w:rsidR="00E74574" w:rsidRDefault="00E74574"/>
    <w:sectPr w:rsidR="00E74574" w:rsidSect="00566BCE">
      <w:headerReference w:type="default" r:id="rId10"/>
      <w:footerReference w:type="default" r:id="rId11"/>
      <w:headerReference w:type="first" r:id="rId12"/>
      <w:footerReference w:type="first" r:id="rId13"/>
      <w:pgSz w:w="11907" w:h="16840" w:code="9"/>
      <w:pgMar w:top="1701" w:right="397" w:bottom="1531" w:left="1304" w:header="680" w:footer="964" w:gutter="0"/>
      <w:paperSrc w:first="279" w:other="279"/>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0B" w:rsidRDefault="005A0E0B" w:rsidP="003E4F4F">
      <w:r>
        <w:separator/>
      </w:r>
    </w:p>
  </w:endnote>
  <w:endnote w:type="continuationSeparator" w:id="0">
    <w:p w:rsidR="005A0E0B" w:rsidRDefault="005A0E0B"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0B" w:rsidRDefault="005A0E0B">
    <w:pPr>
      <w:pStyle w:val="Fuzeile"/>
    </w:pPr>
    <w:r>
      <w:rPr>
        <w:noProof/>
        <w:lang w:eastAsia="de-DE"/>
      </w:rPr>
      <w:drawing>
        <wp:anchor distT="0" distB="0" distL="114300" distR="114300" simplePos="0" relativeHeight="251660288" behindDoc="0" locked="0" layoutInCell="1" allowOverlap="1" wp14:anchorId="256CB3B5" wp14:editId="5636EF6F">
          <wp:simplePos x="0" y="0"/>
          <wp:positionH relativeFrom="column">
            <wp:posOffset>-819150</wp:posOffset>
          </wp:positionH>
          <wp:positionV relativeFrom="paragraph">
            <wp:posOffset>-86360</wp:posOffset>
          </wp:positionV>
          <wp:extent cx="6480810" cy="81470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0B" w:rsidRDefault="005A0E0B">
    <w:pPr>
      <w:pStyle w:val="Fuzeile"/>
    </w:pPr>
    <w:r>
      <w:rPr>
        <w:noProof/>
        <w:lang w:eastAsia="de-DE"/>
      </w:rPr>
      <w:drawing>
        <wp:anchor distT="0" distB="0" distL="114300" distR="114300" simplePos="0" relativeHeight="251658240" behindDoc="0" locked="0" layoutInCell="1" allowOverlap="1">
          <wp:simplePos x="0" y="0"/>
          <wp:positionH relativeFrom="column">
            <wp:posOffset>-808990</wp:posOffset>
          </wp:positionH>
          <wp:positionV relativeFrom="paragraph">
            <wp:posOffset>-84455</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0B" w:rsidRDefault="005A0E0B" w:rsidP="003E4F4F">
      <w:r>
        <w:separator/>
      </w:r>
    </w:p>
  </w:footnote>
  <w:footnote w:type="continuationSeparator" w:id="0">
    <w:p w:rsidR="005A0E0B" w:rsidRDefault="005A0E0B"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5A0E0B" w:rsidRPr="004B239B" w:rsidTr="0022572B">
      <w:trPr>
        <w:trHeight w:val="794"/>
      </w:trPr>
      <w:tc>
        <w:tcPr>
          <w:tcW w:w="8079" w:type="dxa"/>
          <w:tcMar>
            <w:top w:w="0" w:type="dxa"/>
            <w:left w:w="0" w:type="dxa"/>
            <w:bottom w:w="0" w:type="dxa"/>
            <w:right w:w="0" w:type="dxa"/>
          </w:tcMar>
        </w:tcPr>
        <w:p w:rsidR="005A0E0B" w:rsidRPr="004C79EB" w:rsidRDefault="005A0E0B" w:rsidP="00566BCE">
          <w:pPr>
            <w:spacing w:line="180" w:lineRule="exact"/>
            <w:rPr>
              <w:rFonts w:cs="Arial"/>
              <w:noProof/>
              <w:sz w:val="14"/>
              <w:szCs w:val="14"/>
            </w:rPr>
          </w:pPr>
          <w:r>
            <w:rPr>
              <w:rFonts w:cs="Arial"/>
              <w:sz w:val="14"/>
              <w:szCs w:val="14"/>
            </w:rPr>
            <w:t>Seite</w:t>
          </w:r>
          <w:r w:rsidRPr="004C79EB">
            <w:rPr>
              <w:rFonts w:cs="Arial"/>
              <w:sz w:val="14"/>
              <w:szCs w:val="14"/>
            </w:rPr>
            <w:t xml:space="preserv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F22DA4">
            <w:rPr>
              <w:rFonts w:cs="Arial"/>
              <w:noProof/>
              <w:sz w:val="14"/>
              <w:szCs w:val="14"/>
            </w:rPr>
            <w:t>2</w:t>
          </w:r>
          <w:r w:rsidRPr="004C79EB">
            <w:rPr>
              <w:rFonts w:cs="Arial"/>
            </w:rPr>
            <w:fldChar w:fldCharType="end"/>
          </w:r>
          <w:r>
            <w:rPr>
              <w:rFonts w:cs="Arial"/>
              <w:sz w:val="14"/>
              <w:szCs w:val="14"/>
            </w:rPr>
            <w:t xml:space="preserve"> von</w:t>
          </w:r>
          <w:r w:rsidRPr="004C79EB">
            <w:rPr>
              <w:rFonts w:cs="Arial"/>
              <w:sz w:val="14"/>
              <w:szCs w:val="14"/>
            </w:rPr>
            <w:t xml:space="preserve">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F22DA4">
            <w:rPr>
              <w:rFonts w:cs="Arial"/>
              <w:noProof/>
              <w:sz w:val="14"/>
              <w:szCs w:val="14"/>
            </w:rPr>
            <w:t>3</w:t>
          </w:r>
          <w:r w:rsidRPr="004C79EB">
            <w:rPr>
              <w:rFonts w:cs="Arial"/>
            </w:rPr>
            <w:fldChar w:fldCharType="end"/>
          </w:r>
        </w:p>
        <w:p w:rsidR="005A0E0B" w:rsidRPr="004B239B" w:rsidRDefault="005A0E0B" w:rsidP="00566BCE">
          <w:pPr>
            <w:pStyle w:val="berschrift2"/>
            <w:keepLines w:val="0"/>
            <w:spacing w:after="0"/>
            <w:outlineLvl w:val="1"/>
          </w:pPr>
        </w:p>
      </w:tc>
      <w:tc>
        <w:tcPr>
          <w:tcW w:w="2126" w:type="dxa"/>
          <w:tcMar>
            <w:top w:w="0" w:type="dxa"/>
            <w:left w:w="0" w:type="dxa"/>
            <w:bottom w:w="0" w:type="dxa"/>
            <w:right w:w="0" w:type="dxa"/>
          </w:tcMar>
        </w:tcPr>
        <w:p w:rsidR="005A0E0B" w:rsidRPr="004B239B" w:rsidRDefault="005A0E0B" w:rsidP="00566BCE">
          <w:pPr>
            <w:jc w:val="left"/>
          </w:pPr>
          <w:r>
            <w:rPr>
              <w:noProof/>
              <w:lang w:eastAsia="de-DE"/>
            </w:rPr>
            <w:drawing>
              <wp:inline distT="0" distB="0" distL="0" distR="0" wp14:anchorId="1C8233C7" wp14:editId="4A091FCD">
                <wp:extent cx="943200" cy="324000"/>
                <wp:effectExtent l="0" t="0" r="0" b="0"/>
                <wp:docPr id="2"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5A0E0B" w:rsidRDefault="005A0E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5A0E0B" w:rsidRPr="004B239B" w:rsidTr="004B239B">
      <w:trPr>
        <w:trHeight w:val="794"/>
      </w:trPr>
      <w:tc>
        <w:tcPr>
          <w:tcW w:w="8079" w:type="dxa"/>
          <w:tcMar>
            <w:top w:w="0" w:type="dxa"/>
            <w:left w:w="0" w:type="dxa"/>
            <w:bottom w:w="0" w:type="dxa"/>
            <w:right w:w="0" w:type="dxa"/>
          </w:tcMar>
        </w:tcPr>
        <w:p w:rsidR="005A0E0B" w:rsidRPr="004B239B" w:rsidRDefault="005A0E0B" w:rsidP="00566BCE">
          <w:pPr>
            <w:pStyle w:val="Titel"/>
          </w:pPr>
          <w:r>
            <w:t>pressemitteilung</w:t>
          </w:r>
        </w:p>
      </w:tc>
      <w:tc>
        <w:tcPr>
          <w:tcW w:w="2126" w:type="dxa"/>
          <w:tcMar>
            <w:top w:w="0" w:type="dxa"/>
            <w:left w:w="0" w:type="dxa"/>
            <w:bottom w:w="0" w:type="dxa"/>
            <w:right w:w="0" w:type="dxa"/>
          </w:tcMar>
        </w:tcPr>
        <w:p w:rsidR="005A0E0B" w:rsidRPr="004B239B" w:rsidRDefault="005A0E0B" w:rsidP="004B239B">
          <w:pPr>
            <w:jc w:val="left"/>
          </w:pPr>
          <w:r>
            <w:rPr>
              <w:noProof/>
              <w:lang w:eastAsia="de-DE"/>
            </w:rPr>
            <w:drawing>
              <wp:inline distT="0" distB="0" distL="0" distR="0" wp14:anchorId="360C4A4D" wp14:editId="108B3FE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5A0E0B" w:rsidRDefault="005A0E0B"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pStyle w:val="AufzhlungspunkteCHG-MERIDIAN"/>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6">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7">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7"/>
  </w:num>
  <w:num w:numId="5">
    <w:abstractNumId w:val="7"/>
  </w:num>
  <w:num w:numId="6">
    <w:abstractNumId w:val="3"/>
  </w:num>
  <w:num w:numId="7">
    <w:abstractNumId w:val="5"/>
  </w:num>
  <w:num w:numId="8">
    <w:abstractNumId w:val="6"/>
  </w:num>
  <w:num w:numId="9">
    <w:abstractNumId w:val="2"/>
  </w:num>
  <w:num w:numId="10">
    <w:abstractNumId w:val="1"/>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B3AF2"/>
    <w:rsid w:val="000D12FA"/>
    <w:rsid w:val="000E03AB"/>
    <w:rsid w:val="00111396"/>
    <w:rsid w:val="00135EF9"/>
    <w:rsid w:val="00137A87"/>
    <w:rsid w:val="00183D81"/>
    <w:rsid w:val="001843FD"/>
    <w:rsid w:val="00195A05"/>
    <w:rsid w:val="00196EC6"/>
    <w:rsid w:val="001D78E7"/>
    <w:rsid w:val="001E2E86"/>
    <w:rsid w:val="001F20B0"/>
    <w:rsid w:val="00200130"/>
    <w:rsid w:val="00207023"/>
    <w:rsid w:val="00212492"/>
    <w:rsid w:val="0022572B"/>
    <w:rsid w:val="002A1BB4"/>
    <w:rsid w:val="002D54AF"/>
    <w:rsid w:val="002E64A0"/>
    <w:rsid w:val="00305F30"/>
    <w:rsid w:val="00316E05"/>
    <w:rsid w:val="0037598B"/>
    <w:rsid w:val="00396840"/>
    <w:rsid w:val="003B6787"/>
    <w:rsid w:val="003E4E09"/>
    <w:rsid w:val="003E4F4F"/>
    <w:rsid w:val="00402F61"/>
    <w:rsid w:val="00423CD4"/>
    <w:rsid w:val="00424E10"/>
    <w:rsid w:val="00430FC5"/>
    <w:rsid w:val="00454F4F"/>
    <w:rsid w:val="0049117B"/>
    <w:rsid w:val="00492B12"/>
    <w:rsid w:val="004B239B"/>
    <w:rsid w:val="004C79EB"/>
    <w:rsid w:val="004D3192"/>
    <w:rsid w:val="0050390E"/>
    <w:rsid w:val="0051006F"/>
    <w:rsid w:val="00547CF9"/>
    <w:rsid w:val="00554238"/>
    <w:rsid w:val="00566BCE"/>
    <w:rsid w:val="005A0E0B"/>
    <w:rsid w:val="005C6B36"/>
    <w:rsid w:val="005E46B1"/>
    <w:rsid w:val="00607BCD"/>
    <w:rsid w:val="0061248D"/>
    <w:rsid w:val="00631264"/>
    <w:rsid w:val="00636ECB"/>
    <w:rsid w:val="00637462"/>
    <w:rsid w:val="0064269A"/>
    <w:rsid w:val="006779EB"/>
    <w:rsid w:val="006A2518"/>
    <w:rsid w:val="006A61DF"/>
    <w:rsid w:val="00705AD7"/>
    <w:rsid w:val="00721ADA"/>
    <w:rsid w:val="00776FEC"/>
    <w:rsid w:val="00790533"/>
    <w:rsid w:val="007C5852"/>
    <w:rsid w:val="007C5F89"/>
    <w:rsid w:val="007D71AC"/>
    <w:rsid w:val="007E3EA6"/>
    <w:rsid w:val="00821F61"/>
    <w:rsid w:val="00823064"/>
    <w:rsid w:val="00861E23"/>
    <w:rsid w:val="00866736"/>
    <w:rsid w:val="0087331B"/>
    <w:rsid w:val="0088563B"/>
    <w:rsid w:val="008B40D2"/>
    <w:rsid w:val="008C42B2"/>
    <w:rsid w:val="00935EB9"/>
    <w:rsid w:val="009975EA"/>
    <w:rsid w:val="009A6AFE"/>
    <w:rsid w:val="009A703D"/>
    <w:rsid w:val="009D30C4"/>
    <w:rsid w:val="009D3175"/>
    <w:rsid w:val="00A01D16"/>
    <w:rsid w:val="00A3140C"/>
    <w:rsid w:val="00A71665"/>
    <w:rsid w:val="00AA3DD5"/>
    <w:rsid w:val="00B3580B"/>
    <w:rsid w:val="00B7094D"/>
    <w:rsid w:val="00B72201"/>
    <w:rsid w:val="00C16AE2"/>
    <w:rsid w:val="00C262D1"/>
    <w:rsid w:val="00C34BA7"/>
    <w:rsid w:val="00C53357"/>
    <w:rsid w:val="00C5515E"/>
    <w:rsid w:val="00C77607"/>
    <w:rsid w:val="00C81737"/>
    <w:rsid w:val="00C96EAA"/>
    <w:rsid w:val="00D1668A"/>
    <w:rsid w:val="00D42E63"/>
    <w:rsid w:val="00D45803"/>
    <w:rsid w:val="00D86455"/>
    <w:rsid w:val="00D91F94"/>
    <w:rsid w:val="00D922A8"/>
    <w:rsid w:val="00DA25C5"/>
    <w:rsid w:val="00DB6801"/>
    <w:rsid w:val="00DD5E91"/>
    <w:rsid w:val="00DD6CA2"/>
    <w:rsid w:val="00DD7493"/>
    <w:rsid w:val="00DE0477"/>
    <w:rsid w:val="00E03C28"/>
    <w:rsid w:val="00E16161"/>
    <w:rsid w:val="00E42D78"/>
    <w:rsid w:val="00E450E6"/>
    <w:rsid w:val="00E62FE0"/>
    <w:rsid w:val="00E6646D"/>
    <w:rsid w:val="00E71BD9"/>
    <w:rsid w:val="00E74574"/>
    <w:rsid w:val="00E75E36"/>
    <w:rsid w:val="00E86670"/>
    <w:rsid w:val="00E950B0"/>
    <w:rsid w:val="00E96A23"/>
    <w:rsid w:val="00EA583C"/>
    <w:rsid w:val="00EA74FA"/>
    <w:rsid w:val="00EB106D"/>
    <w:rsid w:val="00EB51FA"/>
    <w:rsid w:val="00EB5AEE"/>
    <w:rsid w:val="00EC1B30"/>
    <w:rsid w:val="00F22DA4"/>
    <w:rsid w:val="00F342E4"/>
    <w:rsid w:val="00F5333E"/>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7337677-3F1D-44DC-B95E-872E5D62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0733A9"/>
    <w:pPr>
      <w:numPr>
        <w:numId w:val="10"/>
      </w:numPr>
      <w:jc w:val="left"/>
    </w:pPr>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0733A9"/>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1DF6-301E-420E-BEE6-08C8A8E0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FBF3286F</Template>
  <TotalTime>0</TotalTime>
  <Pages>3</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15</cp:revision>
  <cp:lastPrinted>2016-10-24T14:20:00Z</cp:lastPrinted>
  <dcterms:created xsi:type="dcterms:W3CDTF">2016-05-30T09:54:00Z</dcterms:created>
  <dcterms:modified xsi:type="dcterms:W3CDTF">2016-10-24T15:56:00Z</dcterms:modified>
</cp:coreProperties>
</file>